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color w:val="auto"/>
          <w:sz w:val="32"/>
          <w:szCs w:val="32"/>
        </w:rPr>
        <w:t>WARUNKI OCHRONY PRZECIWPOŻAROWEJ</w:t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color w:val="auto"/>
          <w:sz w:val="32"/>
          <w:szCs w:val="32"/>
        </w:rPr>
        <w:t xml:space="preserve">projektu </w:t>
      </w:r>
      <w:r>
        <w:rPr>
          <w:rFonts w:eastAsia="Calibri" w:cs="Times New Roman" w:ascii="Calibri" w:hAnsi="Calibri"/>
          <w:b/>
          <w:color w:val="auto"/>
          <w:kern w:val="0"/>
          <w:sz w:val="32"/>
          <w:szCs w:val="32"/>
          <w:lang w:val="pl-PL" w:eastAsia="en-US" w:bidi="ar-SA"/>
        </w:rPr>
        <w:t>architektoniczno-budowlanego</w:t>
      </w:r>
    </w:p>
    <w:p>
      <w:pPr>
        <w:pStyle w:val="Normal"/>
        <w:jc w:val="center"/>
        <w:rPr>
          <w:rFonts w:ascii="Calibri" w:hAnsi="Calibri"/>
          <w:b/>
          <w:b/>
          <w:color w:val="auto"/>
          <w:sz w:val="18"/>
          <w:szCs w:val="18"/>
        </w:rPr>
      </w:pPr>
      <w:r>
        <w:rPr>
          <w:rFonts w:ascii="Calibri" w:hAnsi="Calibri"/>
          <w:b/>
          <w:color w:val="auto"/>
          <w:sz w:val="18"/>
          <w:szCs w:val="18"/>
        </w:rPr>
      </w:r>
    </w:p>
    <w:p>
      <w:pPr>
        <w:pStyle w:val="Normal"/>
        <w:jc w:val="center"/>
        <w:rPr>
          <w:rFonts w:ascii="Calibri" w:hAnsi="Calibri"/>
          <w:b/>
          <w:b/>
          <w:color w:val="auto"/>
          <w:sz w:val="24"/>
          <w:szCs w:val="24"/>
        </w:rPr>
      </w:pPr>
      <w:r>
        <w:rPr>
          <w:rFonts w:ascii="Calibri" w:hAnsi="Calibri"/>
          <w:b/>
          <w:color w:val="auto"/>
          <w:sz w:val="24"/>
          <w:szCs w:val="24"/>
        </w:rPr>
      </w:r>
    </w:p>
    <w:tbl>
      <w:tblPr>
        <w:tblW w:w="9630" w:type="dxa"/>
        <w:jc w:val="left"/>
        <w:tblInd w:w="-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630"/>
      </w:tblGrid>
      <w:tr>
        <w:trPr>
          <w:trHeight w:val="469" w:hRule="atLeast"/>
        </w:trPr>
        <w:tc>
          <w:tcPr>
            <w:tcW w:w="9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b/>
                <w:b/>
              </w:rPr>
            </w:pPr>
            <w:r>
              <w:rPr>
                <w:rFonts w:eastAsia="Arial" w:cs="Arial" w:ascii="Calibri" w:hAnsi="Calibri"/>
                <w:b/>
                <w:caps/>
                <w:color w:val="auto"/>
                <w:kern w:val="0"/>
                <w:sz w:val="24"/>
                <w:szCs w:val="24"/>
                <w:lang w:val="pl-PL" w:eastAsia="en-US" w:bidi="ar-SA"/>
              </w:rPr>
              <w:t xml:space="preserve">PROJEKT BUDOWLANY: ROZBUDOWA </w:t>
            </w:r>
            <w:r>
              <w:rPr>
                <w:rFonts w:eastAsia="Arial" w:cs="Arial" w:ascii="Calibri" w:hAnsi="Calibri"/>
                <w:b/>
                <w:caps/>
                <w:color w:val="000000"/>
                <w:kern w:val="0"/>
                <w:sz w:val="24"/>
                <w:szCs w:val="24"/>
                <w:lang w:val="pl-PL" w:eastAsia="en-US" w:bidi="ar-SA"/>
              </w:rPr>
              <w:t xml:space="preserve"> I PRZEBUDOWA ISTNIEJĄCEGO BUDYNKU SZKOŁY PODSTAWOWEJ NR 2 O SALĘ GIMNASTYCZNĄ Z ZAPLECZEM WRAZ Z NIEZBĘDNĄ INFRASTRUKTURĄ TECHNICZNĄ I ZAGOSPODAROWANIEM TERENU</w:t>
            </w:r>
          </w:p>
        </w:tc>
      </w:tr>
    </w:tbl>
    <w:p>
      <w:pPr>
        <w:pStyle w:val="Normal"/>
        <w:shd w:val="clear" w:color="auto" w:fill="FFFFFF"/>
        <w:snapToGrid w:val="false"/>
        <w:rPr>
          <w:rFonts w:ascii="Calibri" w:hAnsi="Calibri" w:eastAsia="Arial"/>
          <w:caps/>
          <w:color w:val="auto"/>
          <w:sz w:val="24"/>
          <w:szCs w:val="24"/>
        </w:rPr>
      </w:pPr>
      <w:r>
        <w:rPr>
          <w:rFonts w:eastAsia="Arial" w:ascii="Calibri" w:hAnsi="Calibri"/>
          <w:caps/>
          <w:color w:val="auto"/>
          <w:sz w:val="24"/>
          <w:szCs w:val="24"/>
        </w:rPr>
      </w:r>
    </w:p>
    <w:tbl>
      <w:tblPr>
        <w:tblW w:w="9640" w:type="dxa"/>
        <w:jc w:val="left"/>
        <w:tblInd w:w="-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640"/>
      </w:tblGrid>
      <w:tr>
        <w:trPr/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left"/>
              <w:rPr>
                <w:rFonts w:eastAsia="Arial"/>
              </w:rPr>
            </w:pPr>
            <w:r>
              <w:rPr>
                <w:rFonts w:eastAsia="Arial" w:cs="Arial" w:ascii="Calibri" w:hAnsi="Calibri"/>
                <w:b/>
                <w:bCs/>
                <w:color w:val="auto"/>
                <w:kern w:val="0"/>
                <w:sz w:val="24"/>
                <w:szCs w:val="24"/>
                <w:lang w:val="pl-PL" w:eastAsia="en-US" w:bidi="ar-SA"/>
              </w:rPr>
              <w:t>Miasto:</w:t>
            </w:r>
            <w:r>
              <w:rPr>
                <w:rFonts w:eastAsia="Arial" w:cs="Arial" w:ascii="Calibri" w:hAnsi="Calibri"/>
                <w:b/>
                <w:bCs/>
                <w:color w:val="auto"/>
                <w:kern w:val="0"/>
                <w:sz w:val="20"/>
                <w:szCs w:val="20"/>
                <w:lang w:val="pl-PL" w:eastAsia="en-US" w:bidi="ar-SA"/>
              </w:rPr>
              <w:t xml:space="preserve"> </w:t>
            </w:r>
            <w:r>
              <w:rPr>
                <w:rFonts w:eastAsia="Arial" w:cs="Arial" w:ascii="Calibri" w:hAnsi="Calibri"/>
                <w:b w:val="false"/>
                <w:bCs w:val="false"/>
                <w:color w:val="000000"/>
                <w:kern w:val="0"/>
                <w:sz w:val="24"/>
                <w:szCs w:val="24"/>
                <w:lang w:val="pl-PL" w:eastAsia="en-US" w:bidi="ar-SA"/>
              </w:rPr>
              <w:t>34-400 Nowy Targ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left"/>
              <w:rPr>
                <w:rFonts w:eastAsia="Arial"/>
                <w:sz w:val="24"/>
                <w:szCs w:val="24"/>
              </w:rPr>
            </w:pPr>
            <w:r>
              <w:rPr>
                <w:rFonts w:eastAsia="Arial" w:cs="Arial" w:ascii="Calibri" w:hAnsi="Calibri"/>
                <w:b/>
                <w:bCs/>
                <w:color w:val="auto"/>
                <w:kern w:val="0"/>
                <w:sz w:val="24"/>
                <w:szCs w:val="24"/>
                <w:lang w:val="pl-PL" w:eastAsia="en-US" w:bidi="ar-SA"/>
              </w:rPr>
              <w:t>Ulica:</w:t>
            </w:r>
            <w:r>
              <w:rPr>
                <w:rFonts w:eastAsia="Arial" w:cs="Arial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 xml:space="preserve"> </w:t>
            </w:r>
            <w:r>
              <w:rPr>
                <w:rFonts w:eastAsia="Arial" w:cs="Arial" w:ascii="Calibri" w:hAnsi="Calibri"/>
                <w:color w:val="000000"/>
                <w:kern w:val="0"/>
                <w:sz w:val="24"/>
                <w:szCs w:val="24"/>
                <w:lang w:val="pl-PL" w:eastAsia="en-US" w:bidi="ar-SA"/>
              </w:rPr>
              <w:t>al. Mikołaja Kopernika 28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Arial" w:cs="Arial" w:ascii="Calibri" w:hAnsi="Calibri"/>
                <w:b/>
                <w:bCs/>
                <w:kern w:val="2"/>
                <w:sz w:val="24"/>
                <w:szCs w:val="24"/>
                <w:lang w:val="pl-PL" w:eastAsia="en-US" w:bidi="ar-SA"/>
              </w:rPr>
              <w:t xml:space="preserve">Nazwa jednostki ewidencyjnej: </w:t>
            </w:r>
            <w:r>
              <w:rPr>
                <w:rFonts w:eastAsia="Arial" w:cs="Arial" w:ascii="Calibri" w:hAnsi="Calibri"/>
                <w:b w:val="false"/>
                <w:bCs w:val="false"/>
                <w:color w:val="00000A"/>
                <w:kern w:val="2"/>
                <w:sz w:val="24"/>
                <w:szCs w:val="24"/>
                <w:lang w:val="pl-PL" w:eastAsia="en-US" w:bidi="ar-SA"/>
              </w:rPr>
              <w:t>221101_1 Nowy Targ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Arial" w:cs="Arial" w:ascii="Calibri" w:hAnsi="Calibri"/>
                <w:b/>
                <w:bCs/>
                <w:kern w:val="2"/>
                <w:sz w:val="24"/>
                <w:szCs w:val="24"/>
                <w:lang w:val="pl-PL" w:eastAsia="en-US" w:bidi="ar-SA"/>
              </w:rPr>
              <w:t xml:space="preserve">Nazwa i numer obrębu ewidencyjnego: </w:t>
            </w:r>
            <w:r>
              <w:rPr>
                <w:rFonts w:eastAsia="Arial" w:cs="Arial" w:ascii="Calibri" w:hAnsi="Calibri"/>
                <w:b w:val="false"/>
                <w:bCs w:val="false"/>
                <w:color w:val="00000A"/>
                <w:kern w:val="2"/>
                <w:sz w:val="24"/>
                <w:szCs w:val="24"/>
                <w:lang w:val="pl-PL" w:eastAsia="en-US" w:bidi="ar-SA"/>
              </w:rPr>
              <w:t>0001 Nowy Targ</w:t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left"/>
              <w:rPr>
                <w:rFonts w:eastAsia="Arial"/>
              </w:rPr>
            </w:pPr>
            <w:r>
              <w:rPr>
                <w:rFonts w:eastAsia="Arial" w:cs="Arial" w:ascii="Calibri" w:hAnsi="Calibri"/>
                <w:b/>
                <w:bCs/>
                <w:color w:val="000000"/>
                <w:kern w:val="2"/>
                <w:sz w:val="24"/>
                <w:szCs w:val="24"/>
                <w:lang w:val="pl-PL" w:eastAsia="en-US" w:bidi="ar-SA"/>
              </w:rPr>
              <w:t xml:space="preserve">Numery działek ewidencyjnych: </w:t>
            </w:r>
            <w:r>
              <w:rPr>
                <w:rFonts w:eastAsia="Arial" w:cs="Arial" w:ascii="Calibri" w:hAnsi="Calibri"/>
                <w:b w:val="false"/>
                <w:bCs w:val="false"/>
                <w:color w:val="000000"/>
                <w:kern w:val="0"/>
                <w:sz w:val="24"/>
                <w:szCs w:val="24"/>
                <w:lang w:val="pl-PL" w:eastAsia="en-US" w:bidi="ar-SA"/>
              </w:rPr>
              <w:t>13219/1, 13220/6, 13220/1</w:t>
            </w:r>
          </w:p>
        </w:tc>
      </w:tr>
    </w:tbl>
    <w:p>
      <w:pPr>
        <w:pStyle w:val="Normal"/>
        <w:shd w:val="clear" w:color="auto" w:fill="FFFFFF"/>
        <w:rPr>
          <w:rFonts w:ascii="Calibri" w:hAnsi="Calibri"/>
          <w:b/>
          <w:b/>
          <w:bCs/>
          <w:color w:val="auto"/>
          <w:sz w:val="24"/>
          <w:szCs w:val="24"/>
          <w:lang w:eastAsia="pl-PL"/>
        </w:rPr>
      </w:pPr>
      <w:r>
        <w:rPr>
          <w:rFonts w:ascii="Calibri" w:hAnsi="Calibri"/>
          <w:b/>
          <w:bCs/>
          <w:color w:val="auto"/>
          <w:sz w:val="24"/>
          <w:szCs w:val="24"/>
          <w:lang w:eastAsia="pl-PL"/>
        </w:rPr>
      </w:r>
    </w:p>
    <w:tbl>
      <w:tblPr>
        <w:tblW w:w="9640" w:type="dxa"/>
        <w:jc w:val="left"/>
        <w:tblInd w:w="-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640"/>
      </w:tblGrid>
      <w:tr>
        <w:trPr/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left"/>
              <w:rPr>
                <w:rFonts w:eastAsia="Arial"/>
                <w:sz w:val="24"/>
                <w:szCs w:val="24"/>
              </w:rPr>
            </w:pPr>
            <w:r>
              <w:rPr>
                <w:rFonts w:eastAsia="Arial" w:cs="Arial" w:ascii="Calibri" w:hAnsi="Calibri"/>
                <w:b/>
                <w:bCs/>
                <w:color w:val="auto"/>
                <w:kern w:val="0"/>
                <w:sz w:val="24"/>
                <w:szCs w:val="24"/>
                <w:lang w:val="pl-PL" w:eastAsia="en-US" w:bidi="ar-SA"/>
              </w:rPr>
              <w:t>INWESTOR:</w:t>
            </w:r>
            <w:r>
              <w:rPr>
                <w:rFonts w:eastAsia="Arial" w:cs="Arial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 xml:space="preserve"> </w:t>
            </w:r>
          </w:p>
          <w:p>
            <w:pPr>
              <w:pStyle w:val="Normal"/>
              <w:widowControl w:val="false"/>
              <w:shd w:val="clear" w:fill="FFFFFF"/>
              <w:suppressAutoHyphens w:val="true"/>
              <w:snapToGrid w:val="false"/>
              <w:spacing w:lineRule="auto" w:line="240" w:before="0" w:after="0"/>
              <w:jc w:val="left"/>
              <w:rPr>
                <w:rFonts w:ascii="Calibri" w:hAnsi="Calibri" w:eastAsia="Calibri" w:cs="Arial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Arial" w:ascii="Calibri" w:hAnsi="Calibri"/>
                <w:b w:val="false"/>
                <w:bCs w:val="false"/>
                <w:color w:val="000000"/>
                <w:kern w:val="0"/>
                <w:sz w:val="24"/>
                <w:szCs w:val="24"/>
                <w:lang w:val="pl-PL" w:eastAsia="en-US" w:bidi="ar-SA"/>
              </w:rPr>
              <w:t>GMINA MIASTO NOWY TARG</w:t>
            </w:r>
          </w:p>
          <w:p>
            <w:pPr>
              <w:pStyle w:val="Normal"/>
              <w:widowControl w:val="false"/>
              <w:shd w:val="clear" w:fill="FFFFFF"/>
              <w:suppressAutoHyphens w:val="true"/>
              <w:snapToGrid w:val="false"/>
              <w:spacing w:lineRule="auto" w:line="240" w:before="0" w:after="0"/>
              <w:jc w:val="left"/>
              <w:rPr>
                <w:rFonts w:ascii="Calibri" w:hAnsi="Calibri" w:eastAsia="Arial" w:cs="Arial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Arial" w:cs="Arial" w:ascii="Calibri" w:hAnsi="Calibri"/>
                <w:b w:val="false"/>
                <w:bCs w:val="false"/>
                <w:color w:val="auto"/>
                <w:kern w:val="0"/>
                <w:sz w:val="24"/>
                <w:szCs w:val="24"/>
                <w:lang w:val="pl-PL" w:eastAsia="en-US" w:bidi="ar-SA"/>
              </w:rPr>
              <w:t>UL. KRZYWA 1</w:t>
            </w:r>
          </w:p>
          <w:p>
            <w:pPr>
              <w:pStyle w:val="Normal"/>
              <w:widowControl w:val="false"/>
              <w:shd w:val="clear" w:fill="FFFFFF"/>
              <w:suppressAutoHyphens w:val="true"/>
              <w:snapToGrid w:val="false"/>
              <w:spacing w:lineRule="auto" w:line="240" w:before="0" w:after="0"/>
              <w:jc w:val="left"/>
              <w:rPr>
                <w:rFonts w:eastAsia="Arial"/>
                <w:sz w:val="24"/>
                <w:szCs w:val="24"/>
              </w:rPr>
            </w:pPr>
            <w:r>
              <w:rPr>
                <w:rFonts w:eastAsia="Calibri" w:cs="Arial" w:ascii="Calibri" w:hAnsi="Calibri"/>
                <w:b w:val="false"/>
                <w:bCs w:val="false"/>
                <w:color w:val="000000"/>
                <w:kern w:val="0"/>
                <w:sz w:val="24"/>
                <w:szCs w:val="24"/>
                <w:lang w:val="pl-PL" w:eastAsia="en-US" w:bidi="ar-SA"/>
              </w:rPr>
              <w:t>34-400 NOWY TARG</w:t>
            </w:r>
          </w:p>
        </w:tc>
      </w:tr>
    </w:tbl>
    <w:p>
      <w:pPr>
        <w:pStyle w:val="Normal"/>
        <w:widowControl w:val="false"/>
        <w:shd w:val="clear" w:color="auto" w:fill="FFFFFF"/>
        <w:suppressAutoHyphens w:val="true"/>
        <w:snapToGrid w:val="false"/>
        <w:spacing w:lineRule="auto" w:line="240" w:before="0" w:after="0"/>
        <w:jc w:val="left"/>
        <w:rPr>
          <w:rFonts w:ascii="Calibri" w:hAnsi="Calibri"/>
          <w:b/>
          <w:b/>
          <w:bCs/>
          <w:color w:val="auto"/>
          <w:sz w:val="24"/>
          <w:szCs w:val="24"/>
          <w:lang w:eastAsia="pl-PL"/>
        </w:rPr>
      </w:pPr>
      <w:r>
        <w:rPr>
          <w:rFonts w:ascii="Calibri" w:hAnsi="Calibri"/>
          <w:b/>
          <w:bCs/>
          <w:color w:val="auto"/>
          <w:sz w:val="24"/>
          <w:szCs w:val="24"/>
          <w:lang w:eastAsia="pl-PL"/>
        </w:rPr>
      </w:r>
    </w:p>
    <w:p>
      <w:pPr>
        <w:pStyle w:val="Normal"/>
        <w:shd w:val="clear" w:color="auto" w:fill="FFFFFF"/>
        <w:rPr>
          <w:rFonts w:ascii="Calibri" w:hAnsi="Calibri"/>
        </w:rPr>
      </w:pPr>
      <w:r>
        <w:rPr>
          <w:rFonts w:ascii="Calibri" w:hAnsi="Calibri"/>
          <w:color w:val="auto"/>
          <w:sz w:val="24"/>
          <w:szCs w:val="24"/>
        </w:rPr>
        <w:t xml:space="preserve">został </w:t>
      </w:r>
      <w:r>
        <w:rPr>
          <w:rFonts w:ascii="Calibri" w:hAnsi="Calibri"/>
          <w:color w:val="auto"/>
          <w:spacing w:val="-4"/>
          <w:sz w:val="24"/>
          <w:szCs w:val="24"/>
        </w:rPr>
        <w:t>wykonany zgodnie z obowiązującymi przepisami oraz zasadami wiedzy technicznej (art. 34 ust. 3d ustawy Prawo Budowlane – Dz. U. z 2021 r. poz. 2351 oraz z 2022 r. poz. 88). Projekt jest kompletny pod względem celu, któremu ma służyć.</w:t>
      </w:r>
    </w:p>
    <w:p>
      <w:pPr>
        <w:pStyle w:val="Normal"/>
        <w:shd w:val="clear" w:color="auto" w:fill="FFFFFF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  <w:b/>
          <w:color w:val="auto"/>
          <w:sz w:val="24"/>
          <w:szCs w:val="24"/>
        </w:rPr>
        <w:t>DANE PROJEKTANTA:</w:t>
      </w:r>
    </w:p>
    <w:p>
      <w:pPr>
        <w:pStyle w:val="Normal"/>
        <w:shd w:val="clear" w:color="auto" w:fill="FFFFFF"/>
        <w:jc w:val="left"/>
        <w:rPr/>
      </w:pPr>
      <w:r>
        <w:rPr>
          <w:rFonts w:eastAsia="NSimSun" w:cs="Arial" w:ascii="Calibri" w:hAnsi="Calibri"/>
          <w:color w:val="auto"/>
          <w:spacing w:val="-4"/>
          <w:kern w:val="2"/>
          <w:sz w:val="24"/>
          <w:szCs w:val="24"/>
          <w:lang w:val="pl-PL" w:eastAsia="zh-CN" w:bidi="hi-IN"/>
        </w:rPr>
        <w:t>mgr inż. arch. Joanna Marta Mazepa</w:t>
      </w:r>
    </w:p>
    <w:p>
      <w:pPr>
        <w:pStyle w:val="Normal"/>
        <w:shd w:val="clear" w:color="auto" w:fill="FFFFFF"/>
        <w:jc w:val="left"/>
        <w:rPr/>
      </w:pPr>
      <w:r>
        <w:rPr>
          <w:rFonts w:eastAsia="NSimSun" w:cs="Arial" w:ascii="Calibri" w:hAnsi="Calibri"/>
          <w:color w:val="auto"/>
          <w:spacing w:val="-4"/>
          <w:kern w:val="2"/>
          <w:sz w:val="24"/>
          <w:szCs w:val="24"/>
          <w:lang w:val="pl-PL" w:eastAsia="zh-CN" w:bidi="hi-IN"/>
        </w:rPr>
        <w:t>upr. bud. nr 10/WPOKK/2012</w:t>
      </w:r>
    </w:p>
    <w:p>
      <w:pPr>
        <w:pStyle w:val="Normal"/>
        <w:shd w:val="clear" w:color="auto" w:fill="FFFFFF"/>
        <w:jc w:val="left"/>
        <w:rPr/>
      </w:pPr>
      <w:r>
        <w:rPr>
          <w:rFonts w:eastAsia="NSimSun" w:cs="Arial" w:ascii="Calibri" w:hAnsi="Calibri"/>
          <w:color w:val="auto"/>
          <w:spacing w:val="-4"/>
          <w:kern w:val="2"/>
          <w:sz w:val="24"/>
          <w:szCs w:val="24"/>
          <w:lang w:val="pl-PL" w:eastAsia="zh-CN" w:bidi="hi-IN"/>
        </w:rPr>
        <w:t>do proj. w spec. arch. b/o</w:t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rFonts w:ascii="Calibri" w:hAnsi="Calibri" w:eastAsia="NSimSun" w:cs="Arial"/>
          <w:b w:val="false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pPr>
      <w:r>
        <w:rPr>
          <w:rFonts w:eastAsia="NSimSun" w:cs="Arial" w:ascii="Calibri" w:hAnsi="Calibri"/>
          <w:b w:val="false"/>
          <w:bCs w:val="false"/>
          <w:spacing w:val="-4"/>
          <w:kern w:val="2"/>
          <w:sz w:val="20"/>
          <w:szCs w:val="20"/>
          <w:lang w:val="pl-PL" w:eastAsia="zh-CN" w:bidi="hi-IN"/>
        </w:rPr>
      </w:r>
    </w:p>
    <w:p>
      <w:pPr>
        <w:pStyle w:val="Normal"/>
        <w:spacing w:lineRule="auto" w:line="360"/>
        <w:jc w:val="right"/>
        <w:rPr>
          <w:shd w:fill="auto" w:val="clear"/>
        </w:rPr>
      </w:pPr>
      <w:r>
        <w:rPr>
          <w:rFonts w:eastAsia="NSimSun" w:cs="Arial" w:ascii="Calibri" w:hAnsi="Calibri"/>
          <w:b/>
          <w:bCs/>
          <w:spacing w:val="-4"/>
          <w:kern w:val="2"/>
          <w:sz w:val="20"/>
          <w:szCs w:val="20"/>
          <w:shd w:fill="auto" w:val="clear"/>
          <w:lang w:val="pl-PL" w:eastAsia="zh-CN" w:bidi="hi-IN"/>
        </w:rPr>
        <w:t>P</w:t>
      </w:r>
      <w:r>
        <w:rPr>
          <w:rFonts w:eastAsia="NSimSun" w:cs="Arial" w:ascii="Calibri" w:hAnsi="Calibri"/>
          <w:b/>
          <w:bCs/>
          <w:color w:val="000000"/>
          <w:spacing w:val="-4"/>
          <w:kern w:val="2"/>
          <w:sz w:val="20"/>
          <w:szCs w:val="20"/>
          <w:shd w:fill="auto" w:val="clear"/>
          <w:lang w:val="pl-PL" w:eastAsia="zh-CN" w:bidi="hi-IN"/>
        </w:rPr>
        <w:t>OZNAŃ, 16.06</w:t>
      </w:r>
      <w:r>
        <w:rPr>
          <w:rFonts w:eastAsia="NSimSun" w:cs="Arial" w:ascii="Calibri" w:hAnsi="Calibri"/>
          <w:b/>
          <w:bCs/>
          <w:spacing w:val="-4"/>
          <w:kern w:val="2"/>
          <w:sz w:val="20"/>
          <w:szCs w:val="20"/>
          <w:shd w:fill="auto" w:val="clear"/>
          <w:lang w:val="pl-PL" w:eastAsia="zh-CN" w:bidi="hi-IN"/>
        </w:rPr>
        <w:t>.202</w:t>
      </w:r>
      <w:r>
        <w:rPr>
          <w:rFonts w:eastAsia="NSimSun" w:cs="Arial" w:ascii="Calibri" w:hAnsi="Calibri"/>
          <w:b/>
          <w:bCs/>
          <w:color w:val="000000"/>
          <w:spacing w:val="-4"/>
          <w:kern w:val="2"/>
          <w:sz w:val="20"/>
          <w:szCs w:val="20"/>
          <w:shd w:fill="auto" w:val="clear"/>
          <w:lang w:val="pl-PL" w:eastAsia="zh-CN" w:bidi="hi-IN"/>
        </w:rPr>
        <w:t xml:space="preserve">3 </w:t>
      </w:r>
      <w:r>
        <w:rPr>
          <w:rFonts w:eastAsia="NSimSun" w:cs="Arial" w:ascii="Calibri" w:hAnsi="Calibri"/>
          <w:b/>
          <w:bCs/>
          <w:spacing w:val="-4"/>
          <w:kern w:val="2"/>
          <w:sz w:val="20"/>
          <w:szCs w:val="20"/>
          <w:shd w:fill="auto" w:val="clear"/>
          <w:lang w:val="pl-PL" w:eastAsia="zh-CN" w:bidi="hi-IN"/>
        </w:rPr>
        <w:t xml:space="preserve"> r.</w:t>
      </w:r>
      <w:r>
        <w:br w:type="page"/>
      </w:r>
    </w:p>
    <w:p>
      <w:pPr>
        <w:pStyle w:val="Normal"/>
        <w:spacing w:lineRule="auto" w:line="360"/>
        <w:jc w:val="center"/>
        <w:rPr>
          <w:rFonts w:ascii="Calibri" w:hAnsi="Calibri"/>
        </w:rPr>
      </w:pPr>
      <w:r>
        <w:rPr>
          <w:rFonts w:ascii="Calibri" w:hAnsi="Calibri"/>
          <w:b/>
          <w:sz w:val="28"/>
        </w:rPr>
        <w:t>WARUNKI OCHRONY PRZECIWPOŻAROWEJ</w:t>
      </w:r>
    </w:p>
    <w:p>
      <w:pPr>
        <w:pStyle w:val="Normal"/>
        <w:spacing w:lineRule="auto" w:line="360"/>
        <w:jc w:val="center"/>
        <w:rPr>
          <w:rFonts w:ascii="Calibri" w:hAnsi="Calibri"/>
        </w:rPr>
      </w:pPr>
      <w:r>
        <w:rPr>
          <w:rFonts w:ascii="Calibri" w:hAnsi="Calibri"/>
          <w:b/>
          <w:sz w:val="28"/>
          <w:u w:val="single"/>
        </w:rPr>
        <w:t>projektu architektoniczno-budowlanego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powierzchni wewnętrznej, wysokości i liczbie kondygnacji</w:t>
      </w:r>
    </w:p>
    <w:p>
      <w:pPr>
        <w:pStyle w:val="Normal"/>
        <w:jc w:val="both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"/>
        <w:widowControl/>
        <w:tabs>
          <w:tab w:val="clear" w:pos="708"/>
          <w:tab w:val="left" w:pos="2604" w:leader="none"/>
        </w:tabs>
        <w:suppressAutoHyphens w:val="true"/>
        <w:bidi w:val="0"/>
        <w:spacing w:lineRule="auto" w:line="240" w:before="0" w:after="0"/>
        <w:ind w:left="-1134" w:right="0" w:hanging="0"/>
        <w:jc w:val="left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                     </w:t>
      </w:r>
      <w:r>
        <w:rPr>
          <w:rFonts w:ascii="Calibri" w:hAnsi="Calibri"/>
          <w:b/>
          <w:bCs/>
          <w:sz w:val="24"/>
          <w:szCs w:val="24"/>
        </w:rPr>
        <w:t>A) Istniejące budyn</w:t>
      </w:r>
      <w:r>
        <w:rPr>
          <w:rFonts w:eastAsia="Calibri" w:cs="Times New Roman" w:ascii="Calibri" w:hAnsi="Calibri"/>
          <w:b/>
          <w:bCs/>
          <w:color w:val="auto"/>
          <w:kern w:val="0"/>
          <w:sz w:val="24"/>
          <w:szCs w:val="24"/>
          <w:lang w:val="pl-PL" w:eastAsia="en-US" w:bidi="ar-SA"/>
        </w:rPr>
        <w:t>ki</w:t>
      </w:r>
      <w:r>
        <w:rPr>
          <w:rFonts w:ascii="Calibri" w:hAnsi="Calibri"/>
          <w:b/>
          <w:bCs/>
          <w:sz w:val="24"/>
          <w:szCs w:val="24"/>
        </w:rPr>
        <w:t xml:space="preserve"> szkoły:</w:t>
      </w:r>
    </w:p>
    <w:tbl>
      <w:tblPr>
        <w:tblW w:w="90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636"/>
        <w:gridCol w:w="1906"/>
        <w:gridCol w:w="530"/>
      </w:tblGrid>
      <w:tr>
        <w:trPr/>
        <w:tc>
          <w:tcPr>
            <w:tcW w:w="6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sz w:val="24"/>
                <w:szCs w:val="24"/>
              </w:rPr>
            </w:pPr>
            <w:r>
              <w:rPr>
                <w:rFonts w:ascii="Calibri" w:hAnsi="Calibri"/>
                <w:color w:val="auto"/>
                <w:sz w:val="24"/>
                <w:szCs w:val="24"/>
              </w:rPr>
              <w:t xml:space="preserve">Powierzchnia </w:t>
            </w:r>
            <w:r>
              <w:rPr>
                <w:rFonts w:eastAsia="Calibri" w:cs="Times New Roman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>wewnętrzna</w:t>
            </w:r>
            <w:r>
              <w:rPr>
                <w:rFonts w:ascii="Calibri" w:hAnsi="Calibri"/>
                <w:color w:val="auto"/>
                <w:sz w:val="24"/>
                <w:szCs w:val="24"/>
              </w:rPr>
              <w:t>:</w:t>
            </w:r>
          </w:p>
        </w:tc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Calibri" w:hAnsi="Calibri" w:eastAsia="Calibri" w:cs="Times New Roman"/>
                <w:color w:val="auto"/>
                <w:kern w:val="0"/>
                <w:sz w:val="24"/>
                <w:szCs w:val="2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3022,47</w:t>
            </w: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auto"/>
                <w:sz w:val="24"/>
                <w:szCs w:val="24"/>
              </w:rPr>
            </w:pPr>
            <w:r>
              <w:rPr>
                <w:rFonts w:ascii="Calibri" w:hAnsi="Calibri"/>
                <w:color w:val="auto"/>
                <w:sz w:val="24"/>
                <w:szCs w:val="24"/>
              </w:rPr>
              <w:t>m2</w:t>
            </w:r>
          </w:p>
        </w:tc>
      </w:tr>
      <w:tr>
        <w:trPr/>
        <w:tc>
          <w:tcPr>
            <w:tcW w:w="6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color w:val="auto"/>
                <w:sz w:val="24"/>
                <w:szCs w:val="24"/>
              </w:rPr>
            </w:pPr>
            <w:r>
              <w:rPr>
                <w:rFonts w:ascii="Calibri" w:hAnsi="Calibri"/>
                <w:color w:val="auto"/>
                <w:sz w:val="24"/>
                <w:szCs w:val="24"/>
              </w:rPr>
              <w:t>Wysokość do attyki:</w:t>
            </w:r>
          </w:p>
        </w:tc>
        <w:tc>
          <w:tcPr>
            <w:tcW w:w="19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Calibri" w:hAnsi="Calibri" w:eastAsia="Calibri" w:cs="Times New Roman"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>11,75</w:t>
            </w:r>
          </w:p>
        </w:tc>
        <w:tc>
          <w:tcPr>
            <w:tcW w:w="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auto"/>
                <w:sz w:val="24"/>
                <w:szCs w:val="24"/>
              </w:rPr>
            </w:pPr>
            <w:r>
              <w:rPr>
                <w:rFonts w:ascii="Calibri" w:hAnsi="Calibri"/>
                <w:color w:val="auto"/>
                <w:sz w:val="24"/>
                <w:szCs w:val="24"/>
              </w:rPr>
              <w:t>m</w:t>
            </w:r>
          </w:p>
        </w:tc>
      </w:tr>
      <w:tr>
        <w:trPr/>
        <w:tc>
          <w:tcPr>
            <w:tcW w:w="6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color w:val="auto"/>
                <w:sz w:val="24"/>
                <w:szCs w:val="24"/>
              </w:rPr>
            </w:pPr>
            <w:r>
              <w:rPr>
                <w:rFonts w:ascii="Calibri" w:hAnsi="Calibri"/>
                <w:color w:val="auto"/>
                <w:sz w:val="24"/>
                <w:szCs w:val="24"/>
              </w:rPr>
              <w:t>Ilość kondygnacji nadziemnych:</w:t>
            </w:r>
          </w:p>
        </w:tc>
        <w:tc>
          <w:tcPr>
            <w:tcW w:w="243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Calibri" w:cs="Times New Roman"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>3</w:t>
            </w:r>
          </w:p>
        </w:tc>
      </w:tr>
      <w:tr>
        <w:trPr/>
        <w:tc>
          <w:tcPr>
            <w:tcW w:w="6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 w:eastAsia="Calibri" w:cs="Times New Roman"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>Ilość kondygnacji podziemnych:</w:t>
            </w:r>
          </w:p>
        </w:tc>
        <w:tc>
          <w:tcPr>
            <w:tcW w:w="243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Calibri" w:cs="Times New Roman"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>1 (piwnica)</w:t>
            </w:r>
          </w:p>
        </w:tc>
      </w:tr>
    </w:tbl>
    <w:p>
      <w:pPr>
        <w:pStyle w:val="Normal"/>
        <w:jc w:val="center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"/>
        <w:jc w:val="left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 xml:space="preserve">B) Projektowany budynek </w:t>
      </w:r>
      <w:r>
        <w:rPr>
          <w:rFonts w:eastAsia="Calibri" w:cs="Times New Roman" w:ascii="Calibri" w:hAnsi="Calibri" w:eastAsiaTheme="minorHAnsi"/>
          <w:b/>
          <w:bCs/>
          <w:color w:val="auto"/>
          <w:kern w:val="0"/>
          <w:sz w:val="24"/>
          <w:szCs w:val="24"/>
          <w:lang w:val="pl-PL" w:eastAsia="en-US" w:bidi="ar-SA"/>
        </w:rPr>
        <w:t>sali</w:t>
      </w:r>
      <w:r>
        <w:rPr>
          <w:rFonts w:ascii="Calibri" w:hAnsi="Calibri"/>
          <w:b/>
          <w:bCs/>
          <w:sz w:val="24"/>
          <w:szCs w:val="24"/>
        </w:rPr>
        <w:t xml:space="preserve"> sportowej:</w:t>
      </w:r>
    </w:p>
    <w:tbl>
      <w:tblPr>
        <w:tblW w:w="90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636"/>
        <w:gridCol w:w="1917"/>
        <w:gridCol w:w="519"/>
      </w:tblGrid>
      <w:tr>
        <w:trPr/>
        <w:tc>
          <w:tcPr>
            <w:tcW w:w="6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  <w:t xml:space="preserve">Powierzchnia </w:t>
            </w: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wewnętrzna</w:t>
            </w:r>
            <w:r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  <w:t>: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Calibri" w:hAnsi="Calibri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1525,77</w:t>
            </w: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  <w:t>m2</w:t>
            </w:r>
          </w:p>
        </w:tc>
      </w:tr>
      <w:tr>
        <w:trPr/>
        <w:tc>
          <w:tcPr>
            <w:tcW w:w="6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Kubatura</w:t>
            </w:r>
            <w:r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  <w:t>:</w:t>
            </w:r>
          </w:p>
        </w:tc>
        <w:tc>
          <w:tcPr>
            <w:tcW w:w="19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Calibri" w:hAnsi="Calibri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13574,59</w:t>
            </w:r>
          </w:p>
        </w:tc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  <w:t>m</w:t>
            </w: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3</w:t>
            </w:r>
          </w:p>
        </w:tc>
      </w:tr>
      <w:tr>
        <w:trPr/>
        <w:tc>
          <w:tcPr>
            <w:tcW w:w="6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  <w:t>Wysokość do kalenicy:</w:t>
            </w:r>
          </w:p>
        </w:tc>
        <w:tc>
          <w:tcPr>
            <w:tcW w:w="19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Calibri" w:hAnsi="Calibri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11,24</w:t>
            </w:r>
          </w:p>
        </w:tc>
        <w:tc>
          <w:tcPr>
            <w:tcW w:w="5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  <w:t>m</w:t>
            </w:r>
          </w:p>
        </w:tc>
      </w:tr>
      <w:tr>
        <w:trPr/>
        <w:tc>
          <w:tcPr>
            <w:tcW w:w="6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  <w:t>Ilość kondygnacji nadziemnych:</w:t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  <w:t>- sala sportowa</w:t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  <w:t>- zaplecze</w:t>
            </w:r>
          </w:p>
        </w:tc>
        <w:tc>
          <w:tcPr>
            <w:tcW w:w="243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1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2</w:t>
            </w:r>
          </w:p>
        </w:tc>
      </w:tr>
      <w:tr>
        <w:trPr/>
        <w:tc>
          <w:tcPr>
            <w:tcW w:w="66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Ilość kondygnacji podziemnych:</w:t>
            </w:r>
          </w:p>
        </w:tc>
        <w:tc>
          <w:tcPr>
            <w:tcW w:w="243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000000"/>
                <w:kern w:val="0"/>
                <w:sz w:val="24"/>
                <w:szCs w:val="24"/>
                <w:shd w:fill="auto" w:val="clear"/>
                <w:lang w:val="pl-PL" w:eastAsia="en-US" w:bidi="ar-SA"/>
              </w:rPr>
              <w:t>0</w:t>
            </w:r>
          </w:p>
        </w:tc>
      </w:tr>
    </w:tbl>
    <w:p>
      <w:pPr>
        <w:pStyle w:val="Normal"/>
        <w:jc w:val="left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"/>
        <w:jc w:val="left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Charakterystykę zagrożenia pożarowego, w tym informacje o parametrach pożarowych materiałów niebezpiecznych pożarowo oraz zagrożeniach wynikających z procesów technologicznych, a także w zależności od potrzeb – charakterystykę pożarów przyjętych do celów projektowych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 xml:space="preserve">Materiałami palnymi będą typowe materiały stanowiące wyposażenie i wystrój </w:t>
        <w:tab/>
        <w:t xml:space="preserve">pomieszczeń budynku (np. papier, drewno, drewnopochodne, tkaniny, żywność, poliuretan). 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Poniżej określono charakterystykę pożarową wstępujących materiałów palnych w budynku: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9001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637"/>
        <w:gridCol w:w="1758"/>
        <w:gridCol w:w="6606"/>
      </w:tblGrid>
      <w:tr>
        <w:trPr>
          <w:tblHeader w:val="true"/>
        </w:trPr>
        <w:tc>
          <w:tcPr>
            <w:tcW w:w="6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 xml:space="preserve">Lp.   </w:t>
            </w:r>
          </w:p>
        </w:tc>
        <w:tc>
          <w:tcPr>
            <w:tcW w:w="175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materiał</w:t>
            </w:r>
          </w:p>
        </w:tc>
        <w:tc>
          <w:tcPr>
            <w:tcW w:w="660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charakterystyka</w:t>
            </w:r>
          </w:p>
        </w:tc>
      </w:tr>
      <w:tr>
        <w:trPr/>
        <w:tc>
          <w:tcPr>
            <w:tcW w:w="637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drewno,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drewnopochodne</w:t>
            </w:r>
          </w:p>
        </w:tc>
        <w:tc>
          <w:tcPr>
            <w:tcW w:w="6606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 w:ascii="Calibri" w:hAnsi="Calibri"/>
                <w:sz w:val="20"/>
                <w:szCs w:val="20"/>
              </w:rPr>
              <w:t>–</w:t>
            </w:r>
            <w:r>
              <w:rPr>
                <w:rFonts w:ascii="Calibri" w:hAnsi="Calibri"/>
                <w:sz w:val="20"/>
                <w:szCs w:val="20"/>
              </w:rPr>
              <w:t xml:space="preserve">  </w:t>
            </w:r>
            <w:r>
              <w:rPr>
                <w:rFonts w:ascii="Calibri" w:hAnsi="Calibri"/>
                <w:sz w:val="20"/>
                <w:szCs w:val="20"/>
              </w:rPr>
              <w:t xml:space="preserve">łatwo zapalne,     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 w:ascii="Calibri" w:hAnsi="Calibri"/>
                <w:sz w:val="20"/>
                <w:szCs w:val="20"/>
              </w:rPr>
              <w:t>–</w:t>
            </w:r>
            <w:r>
              <w:rPr>
                <w:rFonts w:ascii="Calibri" w:hAnsi="Calibri"/>
                <w:sz w:val="20"/>
                <w:szCs w:val="20"/>
              </w:rPr>
              <w:t xml:space="preserve">  </w:t>
            </w:r>
            <w:r>
              <w:rPr>
                <w:rFonts w:ascii="Calibri" w:hAnsi="Calibri"/>
                <w:sz w:val="20"/>
                <w:szCs w:val="20"/>
              </w:rPr>
              <w:t xml:space="preserve">temperatura zapalenia: 300 – 400 </w:t>
            </w:r>
            <w:r>
              <w:rPr>
                <w:rFonts w:ascii="Calibri" w:hAnsi="Calibri"/>
                <w:sz w:val="20"/>
                <w:szCs w:val="20"/>
                <w:vertAlign w:val="superscript"/>
              </w:rPr>
              <w:t>o</w:t>
            </w:r>
            <w:r>
              <w:rPr>
                <w:rFonts w:ascii="Calibri" w:hAnsi="Calibri"/>
                <w:sz w:val="20"/>
                <w:szCs w:val="20"/>
              </w:rPr>
              <w:t>C,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–  </w:t>
            </w:r>
            <w:r>
              <w:rPr>
                <w:rFonts w:ascii="Calibri" w:hAnsi="Calibri"/>
                <w:sz w:val="20"/>
                <w:szCs w:val="20"/>
              </w:rPr>
              <w:t>ciepło spalania: 18,MJ/kg</w:t>
            </w:r>
          </w:p>
        </w:tc>
      </w:tr>
      <w:tr>
        <w:trPr/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papier, karton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 w:ascii="Calibri" w:hAnsi="Calibri"/>
                <w:sz w:val="20"/>
                <w:szCs w:val="20"/>
              </w:rPr>
              <w:t>–</w:t>
            </w:r>
            <w:r>
              <w:rPr>
                <w:rFonts w:ascii="Calibri" w:hAnsi="Calibri"/>
                <w:sz w:val="20"/>
                <w:szCs w:val="20"/>
              </w:rPr>
              <w:t xml:space="preserve">  </w:t>
            </w:r>
            <w:r>
              <w:rPr>
                <w:rFonts w:ascii="Calibri" w:hAnsi="Calibri"/>
                <w:sz w:val="20"/>
                <w:szCs w:val="20"/>
              </w:rPr>
              <w:t>łatwo zapalny,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 w:ascii="Calibri" w:hAnsi="Calibri"/>
                <w:sz w:val="20"/>
                <w:szCs w:val="20"/>
              </w:rPr>
              <w:t>–</w:t>
            </w:r>
            <w:r>
              <w:rPr>
                <w:rFonts w:ascii="Calibri" w:hAnsi="Calibri"/>
                <w:sz w:val="20"/>
                <w:szCs w:val="20"/>
              </w:rPr>
              <w:t xml:space="preserve">  </w:t>
            </w:r>
            <w:r>
              <w:rPr>
                <w:rFonts w:ascii="Calibri" w:hAnsi="Calibri"/>
                <w:sz w:val="20"/>
                <w:szCs w:val="20"/>
              </w:rPr>
              <w:t>temperatura zapalenia: 230</w:t>
            </w:r>
            <w:r>
              <w:rPr>
                <w:rFonts w:ascii="Calibri" w:hAnsi="Calibri"/>
                <w:sz w:val="20"/>
                <w:szCs w:val="20"/>
                <w:vertAlign w:val="superscript"/>
              </w:rPr>
              <w:t>o</w:t>
            </w:r>
            <w:r>
              <w:rPr>
                <w:rFonts w:ascii="Calibri" w:hAnsi="Calibri"/>
                <w:sz w:val="20"/>
                <w:szCs w:val="20"/>
              </w:rPr>
              <w:t>C,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 stanie rozluźnionym pali się intensywnie i  szybko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 w:ascii="Calibri" w:hAnsi="Calibri"/>
                <w:sz w:val="20"/>
                <w:szCs w:val="20"/>
              </w:rPr>
              <w:t>–</w:t>
            </w:r>
            <w:r>
              <w:rPr>
                <w:rFonts w:ascii="Calibri" w:hAnsi="Calibri"/>
                <w:sz w:val="20"/>
                <w:szCs w:val="20"/>
              </w:rPr>
              <w:t xml:space="preserve">  </w:t>
            </w:r>
            <w:r>
              <w:rPr>
                <w:rFonts w:ascii="Calibri" w:hAnsi="Calibri"/>
                <w:sz w:val="20"/>
                <w:szCs w:val="20"/>
              </w:rPr>
              <w:t>ciepło spalania: 16 MJ/kg</w:t>
            </w:r>
          </w:p>
        </w:tc>
      </w:tr>
      <w:tr>
        <w:trPr/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folia polietylenowa (PE),)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–  </w:t>
            </w:r>
            <w:r>
              <w:rPr>
                <w:rFonts w:ascii="Calibri" w:hAnsi="Calibri"/>
                <w:sz w:val="20"/>
                <w:szCs w:val="20"/>
              </w:rPr>
              <w:t>łatwo zapalna,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 małej odporności na działanie ciepła,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–  </w:t>
            </w:r>
            <w:r>
              <w:rPr>
                <w:rFonts w:ascii="Calibri" w:hAnsi="Calibri"/>
                <w:sz w:val="20"/>
                <w:szCs w:val="20"/>
              </w:rPr>
              <w:t>polietylen pali się sam; żółty świecący, w środku niebieski płomień; po krótkim paleniu spadają krople stopionego materiału, przy czym płomień utrzymuje się na kroplach;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–  </w:t>
            </w:r>
            <w:r>
              <w:rPr>
                <w:rFonts w:ascii="Calibri" w:hAnsi="Calibri"/>
                <w:sz w:val="20"/>
                <w:szCs w:val="20"/>
              </w:rPr>
              <w:t>podczas palenia wydzielają duże ilości dymów  i gazów toksycznych,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podczas gaszenia wywiązuje się szaroniebieski dym o zapachu parafiny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ciepło spalania: 42MJ/kg</w:t>
            </w:r>
          </w:p>
        </w:tc>
      </w:tr>
      <w:tr>
        <w:trPr/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polichlorek           – wyroby plasty-fikowane </w:t>
            </w:r>
            <w:r>
              <w:rPr>
                <w:rFonts w:ascii="Calibri" w:hAnsi="Calibri"/>
                <w:i/>
                <w:sz w:val="20"/>
                <w:szCs w:val="20"/>
              </w:rPr>
              <w:t>(PCV)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palne,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temperatura zapalenia: 400 – 500 </w:t>
            </w:r>
            <w:r>
              <w:rPr>
                <w:rFonts w:ascii="Calibri" w:hAnsi="Calibri"/>
                <w:sz w:val="20"/>
                <w:szCs w:val="20"/>
                <w:vertAlign w:val="superscript"/>
              </w:rPr>
              <w:t>o</w:t>
            </w:r>
            <w:r>
              <w:rPr>
                <w:rFonts w:ascii="Calibri" w:hAnsi="Calibri"/>
                <w:sz w:val="20"/>
                <w:szCs w:val="20"/>
              </w:rPr>
              <w:t>C,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podczas palenia wydzielają duże ilości dymów i gazów toksycznych,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ciepło spalania: 25MJ/kg</w:t>
            </w:r>
          </w:p>
        </w:tc>
      </w:tr>
      <w:tr>
        <w:trPr/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Polipropylen (PP)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ciało stałe w temp. 20 </w:t>
            </w:r>
            <w:r>
              <w:rPr>
                <w:rFonts w:ascii="Calibri" w:hAnsi="Calibri"/>
                <w:sz w:val="20"/>
                <w:szCs w:val="20"/>
                <w:vertAlign w:val="superscript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C, palne,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temperatura przetwórstwa 230 – 280 </w:t>
            </w:r>
            <w:r>
              <w:rPr>
                <w:rFonts w:ascii="Calibri" w:hAnsi="Calibri"/>
                <w:sz w:val="20"/>
                <w:szCs w:val="20"/>
                <w:vertAlign w:val="superscript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C,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ciepło spalania  –  43 MJ/kg</w:t>
            </w:r>
          </w:p>
        </w:tc>
      </w:tr>
      <w:tr>
        <w:trPr/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ABS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(elementy sprzętu AG)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ciało stałe w temp. 20 </w:t>
            </w:r>
            <w:r>
              <w:rPr>
                <w:rFonts w:ascii="Calibri" w:hAnsi="Calibri"/>
                <w:sz w:val="20"/>
                <w:szCs w:val="20"/>
                <w:vertAlign w:val="superscript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C, palne,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temperatura zap. 390 </w:t>
            </w:r>
            <w:r>
              <w:rPr>
                <w:rFonts w:ascii="Calibri" w:hAnsi="Calibri"/>
                <w:sz w:val="20"/>
                <w:szCs w:val="20"/>
                <w:vertAlign w:val="superscript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C.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ciepło spalania; 36 MJ/kg</w:t>
            </w:r>
          </w:p>
        </w:tc>
      </w:tr>
      <w:tr>
        <w:trPr/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Poliamid 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palny, własności samogasnące,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temperatura mięknienia 190 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ciepło spalania 29 MJ/kg</w:t>
            </w:r>
          </w:p>
        </w:tc>
      </w:tr>
      <w:tr>
        <w:trPr/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Poliester 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palny, pali się po zapaleniu bez obecności zewnętrznego źródła ciepła,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temperatura topnienia  220 – 230 </w:t>
            </w:r>
            <w:r>
              <w:rPr>
                <w:rFonts w:ascii="Calibri" w:hAnsi="Calibri"/>
                <w:sz w:val="20"/>
                <w:szCs w:val="20"/>
                <w:vertAlign w:val="superscript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 xml:space="preserve"> C,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temperatura rozkładu ok. 300 </w:t>
            </w:r>
            <w:r>
              <w:rPr>
                <w:rFonts w:ascii="Calibri" w:hAnsi="Calibri"/>
                <w:sz w:val="20"/>
                <w:szCs w:val="20"/>
                <w:vertAlign w:val="superscript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C,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ciepło spalania 31 MJ/kg</w:t>
            </w:r>
          </w:p>
        </w:tc>
      </w:tr>
      <w:tr>
        <w:trPr/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Calibri" w:cs="Times New Roman" w:ascii="Calibri" w:hAnsi="Calibri" w:eastAsiaTheme="minorHAnsi"/>
                <w:color w:val="auto"/>
                <w:kern w:val="0"/>
                <w:sz w:val="20"/>
                <w:szCs w:val="20"/>
                <w:lang w:val="pl-PL" w:eastAsia="en-US" w:bidi="ar-SA"/>
              </w:rPr>
              <w:t>9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Tworzywa sztuczne /</w:t>
            </w:r>
            <w:r>
              <w:rPr>
                <w:rFonts w:ascii="Calibri" w:hAnsi="Calibri"/>
                <w:i/>
                <w:sz w:val="20"/>
                <w:szCs w:val="20"/>
              </w:rPr>
              <w:t>polietylen, PCV/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palne,</w:t>
            </w:r>
          </w:p>
          <w:p>
            <w:pPr>
              <w:pStyle w:val="Normal"/>
              <w:widowControl w:val="false"/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temperatura zapalenia: 400 - 500 </w:t>
            </w:r>
            <w:r>
              <w:rPr>
                <w:rFonts w:ascii="Calibri" w:hAnsi="Calibri"/>
                <w:sz w:val="20"/>
                <w:szCs w:val="20"/>
                <w:vertAlign w:val="superscript"/>
              </w:rPr>
              <w:t>o</w:t>
            </w:r>
            <w:r>
              <w:rPr>
                <w:rFonts w:ascii="Calibri" w:hAnsi="Calibri"/>
                <w:sz w:val="20"/>
                <w:szCs w:val="20"/>
              </w:rPr>
              <w:t>C,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podczas palenia wydzielają duże ilości dymów i gazów toksycznych.</w:t>
            </w:r>
          </w:p>
        </w:tc>
      </w:tr>
      <w:tr>
        <w:trPr/>
        <w:tc>
          <w:tcPr>
            <w:tcW w:w="6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>
              <w:rPr>
                <w:rFonts w:eastAsia="Calibri" w:cs="Times New Roman" w:ascii="Calibri" w:hAnsi="Calibri" w:eastAsiaTheme="minorHAnsi"/>
                <w:color w:val="auto"/>
                <w:kern w:val="0"/>
                <w:sz w:val="20"/>
                <w:szCs w:val="20"/>
                <w:lang w:val="pl-PL" w:eastAsia="en-US" w:bidi="ar-SA"/>
              </w:rPr>
              <w:t>0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Tkaniny bawełniane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łatwe zapalne,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temperatura zapalenia: 225 </w:t>
            </w:r>
            <w:r>
              <w:rPr>
                <w:rFonts w:ascii="Calibri" w:hAnsi="Calibri"/>
                <w:sz w:val="20"/>
                <w:szCs w:val="20"/>
                <w:vertAlign w:val="superscript"/>
              </w:rPr>
              <w:t>o</w:t>
            </w:r>
            <w:r>
              <w:rPr>
                <w:rFonts w:ascii="Calibri" w:hAnsi="Calibri"/>
                <w:sz w:val="20"/>
                <w:szCs w:val="20"/>
              </w:rPr>
              <w:t>C,</w:t>
            </w:r>
          </w:p>
        </w:tc>
      </w:tr>
    </w:tbl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klasyfikacji pożarowej z uwagi na przeznaczenie i sposób użytkowania</w:t>
      </w:r>
    </w:p>
    <w:p>
      <w:pPr>
        <w:pStyle w:val="Normal"/>
        <w:tabs>
          <w:tab w:val="clear" w:pos="708"/>
          <w:tab w:val="left" w:pos="-900" w:leader="none"/>
          <w:tab w:val="left" w:pos="0" w:leader="none"/>
        </w:tabs>
        <w:ind w:left="0" w:right="0" w:hanging="0"/>
        <w:jc w:val="both"/>
        <w:rPr>
          <w:rFonts w:ascii="Calibri" w:hAnsi="Calibri"/>
        </w:rPr>
      </w:pPr>
      <w:r>
        <w:rPr>
          <w:rFonts w:eastAsia="Calibri" w:cs="Arial" w:ascii="Calibri" w:hAnsi="Calibri" w:eastAsiaTheme="minorHAnsi"/>
          <w:color w:val="auto"/>
          <w:kern w:val="0"/>
          <w:sz w:val="24"/>
          <w:szCs w:val="24"/>
          <w:lang w:val="pl-PL" w:eastAsia="en-US" w:bidi="ar-SA"/>
        </w:rPr>
        <w:t>Projektowana rozbudowa budynku szkoły zakwalifikowana do kategorii zagrożenia ludzi ZL III – budynek nie zawierający pomieszczeń do jednoczesnego przebywania ponad 50 osób niebędących stałymi użytkownikami.</w:t>
      </w:r>
    </w:p>
    <w:p>
      <w:pPr>
        <w:pStyle w:val="Normal"/>
        <w:tabs>
          <w:tab w:val="clear" w:pos="708"/>
          <w:tab w:val="left" w:pos="-900" w:leader="none"/>
        </w:tabs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color w:val="auto"/>
          <w:sz w:val="24"/>
          <w:szCs w:val="24"/>
        </w:rPr>
        <w:t>Informacje o kategorii zagrożenia ludzi oraz przewidywanej liczbie osób na każdej kondygnacji, a także w pomieszczeniach, których drzwi ewakuacyjne powinny otwierać się na zewnątrz pomieszczeń</w:t>
      </w:r>
    </w:p>
    <w:p>
      <w:pPr>
        <w:pStyle w:val="ListParagraph"/>
        <w:numPr>
          <w:ilvl w:val="0"/>
          <w:numId w:val="0"/>
        </w:numPr>
        <w:ind w:left="1428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 w:val="false"/>
          <w:bCs w:val="false"/>
          <w:color w:val="auto"/>
          <w:sz w:val="24"/>
          <w:szCs w:val="24"/>
        </w:rPr>
        <w:t>Budyn</w:t>
      </w:r>
      <w:r>
        <w:rPr>
          <w:rFonts w:eastAsia="Calibri" w:cs="Times New Roman" w:ascii="Calibri" w:hAnsi="Calibr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>ki</w:t>
      </w:r>
      <w:r>
        <w:rPr>
          <w:rFonts w:ascii="Calibri" w:hAnsi="Calibri"/>
          <w:b w:val="false"/>
          <w:bCs w:val="false"/>
          <w:color w:val="auto"/>
          <w:sz w:val="24"/>
          <w:szCs w:val="24"/>
        </w:rPr>
        <w:t xml:space="preserve"> użyteczności publicznej kwalifikuje się do kategorii zagrożenia ludzi ZLIII.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 w:val="false"/>
          <w:bCs w:val="false"/>
          <w:color w:val="auto"/>
          <w:sz w:val="24"/>
          <w:szCs w:val="24"/>
        </w:rPr>
        <w:t>Liczba użytkowników projektowan</w:t>
      </w:r>
      <w:r>
        <w:rPr>
          <w:rFonts w:eastAsia="Calibri" w:cs="Times New Roman" w:ascii="Calibri" w:hAnsi="Calibr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>ego</w:t>
      </w:r>
      <w:r>
        <w:rPr>
          <w:rFonts w:ascii="Calibri" w:hAnsi="Calibri"/>
          <w:b w:val="false"/>
          <w:bCs w:val="false"/>
          <w:color w:val="auto"/>
          <w:sz w:val="24"/>
          <w:szCs w:val="24"/>
        </w:rPr>
        <w:t xml:space="preserve"> budynków:</w:t>
      </w:r>
    </w:p>
    <w:p>
      <w:pPr>
        <w:pStyle w:val="Normal"/>
        <w:jc w:val="both"/>
        <w:rPr>
          <w:rFonts w:ascii="Calibri" w:hAnsi="Calibri"/>
          <w:b w:val="false"/>
          <w:b w:val="false"/>
          <w:bCs w:val="false"/>
          <w:color w:val="auto"/>
          <w:sz w:val="24"/>
          <w:szCs w:val="24"/>
        </w:rPr>
      </w:pPr>
      <w:r>
        <w:rPr>
          <w:rFonts w:ascii="Calibri" w:hAnsi="Calibri"/>
          <w:b w:val="false"/>
          <w:bCs w:val="false"/>
          <w:color w:val="auto"/>
          <w:sz w:val="24"/>
          <w:szCs w:val="24"/>
        </w:rPr>
      </w:r>
    </w:p>
    <w:tbl>
      <w:tblPr>
        <w:tblW w:w="907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36"/>
        <w:gridCol w:w="4535"/>
      </w:tblGrid>
      <w:tr>
        <w:trPr/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auto"/>
                <w:sz w:val="24"/>
                <w:szCs w:val="24"/>
              </w:rPr>
            </w:pPr>
            <w:r>
              <w:rPr>
                <w:rFonts w:ascii="Calibri" w:hAnsi="Calibri"/>
                <w:color w:val="auto"/>
                <w:sz w:val="24"/>
                <w:szCs w:val="24"/>
              </w:rPr>
            </w:r>
          </w:p>
        </w:tc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Calibri" w:cs="Times New Roman"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>Ilość osób</w:t>
            </w:r>
          </w:p>
        </w:tc>
      </w:tr>
      <w:tr>
        <w:trPr/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 w:eastAsia="Calibri" w:cs="Times New Roman"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>Kondygnacja pierwsza:</w:t>
            </w:r>
          </w:p>
        </w:tc>
        <w:tc>
          <w:tcPr>
            <w:tcW w:w="45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Calibri" w:cs="Times New Roman"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>48</w:t>
            </w:r>
          </w:p>
        </w:tc>
      </w:tr>
      <w:tr>
        <w:trPr/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left"/>
              <w:rPr>
                <w:rFonts w:ascii="Calibri" w:hAnsi="Calibri" w:eastAsia="Calibri" w:cs="Times New Roman"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>Kondygnacja druga:</w:t>
            </w:r>
          </w:p>
        </w:tc>
        <w:tc>
          <w:tcPr>
            <w:tcW w:w="45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Calibri" w:cs="Times New Roman"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>40</w:t>
            </w:r>
          </w:p>
        </w:tc>
      </w:tr>
      <w:tr>
        <w:trPr/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Calibri" w:cs="Times New Roman"/>
                <w:b/>
                <w:b/>
                <w:bCs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b/>
                <w:bCs/>
                <w:color w:val="auto"/>
                <w:kern w:val="0"/>
                <w:sz w:val="24"/>
                <w:szCs w:val="24"/>
                <w:lang w:val="pl-PL" w:eastAsia="en-US" w:bidi="ar-SA"/>
              </w:rPr>
              <w:t>ŁĄCZNIE LICZBA UŻYTKOWNIKÓW W PROJEKTOWANYM BUDYNKU:</w:t>
            </w:r>
          </w:p>
        </w:tc>
        <w:tc>
          <w:tcPr>
            <w:tcW w:w="45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Calibri" w:cs="Times New Roman"/>
                <w:b/>
                <w:b/>
                <w:bCs/>
                <w:color w:val="auto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Times New Roman" w:ascii="Calibri" w:hAnsi="Calibri"/>
                <w:b/>
                <w:bCs/>
                <w:color w:val="auto"/>
                <w:kern w:val="0"/>
                <w:sz w:val="24"/>
                <w:szCs w:val="24"/>
                <w:lang w:val="pl-PL" w:eastAsia="en-US" w:bidi="ar-SA"/>
              </w:rPr>
              <w:t>88</w:t>
            </w:r>
          </w:p>
        </w:tc>
      </w:tr>
    </w:tbl>
    <w:p>
      <w:pPr>
        <w:pStyle w:val="Normal"/>
        <w:jc w:val="both"/>
        <w:rPr>
          <w:rFonts w:ascii="Calibri" w:hAnsi="Calibri"/>
          <w:b w:val="false"/>
          <w:b w:val="false"/>
          <w:bCs w:val="false"/>
          <w:color w:val="auto"/>
          <w:sz w:val="24"/>
          <w:szCs w:val="24"/>
        </w:rPr>
      </w:pPr>
      <w:r>
        <w:rPr>
          <w:rFonts w:ascii="Calibri" w:hAnsi="Calibri"/>
          <w:b w:val="false"/>
          <w:bCs w:val="false"/>
          <w:color w:val="auto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podziale na strefy pożarowe</w:t>
      </w:r>
    </w:p>
    <w:p>
      <w:pPr>
        <w:pStyle w:val="ListParagraph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eastAsia="Calibri" w:cs="Times New Roman" w:ascii="Calibri" w:hAnsi="Calibri" w:eastAsiaTheme="minorHAns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>Projektowana rozbudowa budynku szkoły stanowi odrębną strefę pożarową.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Maksymalną gęstość obciążenia ogniowego poszczególnych stref pożarowych PM wraz z warunkami przyjętymi do jej określenia</w:t>
      </w:r>
    </w:p>
    <w:p>
      <w:pPr>
        <w:pStyle w:val="Standard"/>
        <w:ind w:hanging="0"/>
        <w:jc w:val="both"/>
        <w:rPr/>
      </w:pPr>
      <w:r>
        <w:rPr/>
      </w:r>
    </w:p>
    <w:p>
      <w:pPr>
        <w:pStyle w:val="Standard"/>
        <w:ind w:hanging="0"/>
        <w:jc w:val="both"/>
        <w:rPr>
          <w:rFonts w:ascii="Calibri" w:hAnsi="Calibri"/>
        </w:rPr>
      </w:pPr>
      <w:r>
        <w:rPr>
          <w:rFonts w:ascii="Calibri" w:hAnsi="Calibri"/>
          <w:color w:val="000000"/>
          <w:sz w:val="24"/>
          <w:szCs w:val="24"/>
        </w:rPr>
        <w:t xml:space="preserve">Dla strefy pożarowej kwalifikowanej do kategorii zagrożenia ludzi ZL gęstości obciążenia ogniowego nie oblicza się. </w:t>
      </w:r>
    </w:p>
    <w:p>
      <w:pPr>
        <w:pStyle w:val="Standard"/>
        <w:ind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Standard"/>
        <w:ind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ind w:left="72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klasie odporności pożarowej oraz odporności ogniowej i stopniu rozprzestrzeniania ognia przez elementy budowlane</w:t>
      </w:r>
    </w:p>
    <w:p>
      <w:pPr>
        <w:pStyle w:val="ListParagraph"/>
        <w:numPr>
          <w:ilvl w:val="0"/>
          <w:numId w:val="0"/>
        </w:numPr>
        <w:ind w:left="1428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4"/>
          <w:szCs w:val="24"/>
        </w:rPr>
        <w:t>7.1. Klasa odporności pożarowej</w:t>
      </w:r>
    </w:p>
    <w:p>
      <w:pPr>
        <w:pStyle w:val="Normal"/>
        <w:tabs>
          <w:tab w:val="clear" w:pos="708"/>
          <w:tab w:val="left" w:pos="-900" w:leader="none"/>
        </w:tabs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00" w:leader="none"/>
        </w:tabs>
        <w:jc w:val="both"/>
        <w:rPr>
          <w:rFonts w:ascii="Calibri" w:hAnsi="Calibri"/>
        </w:rPr>
      </w:pPr>
      <w:r>
        <w:rPr>
          <w:rFonts w:cs="Arial" w:ascii="Calibri" w:hAnsi="Calibri"/>
          <w:sz w:val="24"/>
          <w:szCs w:val="24"/>
        </w:rPr>
        <w:t>Projektowana rozbudowa budynku szkoły zakwalifikowana do kategorii zagrożenia ludzi ZL III</w:t>
      </w:r>
    </w:p>
    <w:p>
      <w:pPr>
        <w:pStyle w:val="Normal"/>
        <w:tabs>
          <w:tab w:val="clear" w:pos="708"/>
          <w:tab w:val="left" w:pos="-900" w:leader="none"/>
        </w:tabs>
        <w:jc w:val="both"/>
        <w:rPr>
          <w:rFonts w:ascii="Calibri" w:hAnsi="Calibri"/>
        </w:rPr>
      </w:pPr>
      <w:r>
        <w:rPr>
          <w:rFonts w:cs="Arial" w:ascii="Calibri" w:hAnsi="Calibri"/>
          <w:sz w:val="24"/>
          <w:szCs w:val="24"/>
        </w:rPr>
        <w:t>o wysokości maksymalnej 11,</w:t>
      </w:r>
      <w:r>
        <w:rPr>
          <w:rFonts w:eastAsia="Calibri" w:cs="Arial" w:ascii="Calibri" w:hAnsi="Calibri" w:eastAsiaTheme="minorHAnsi"/>
          <w:color w:val="auto"/>
          <w:kern w:val="0"/>
          <w:sz w:val="24"/>
          <w:szCs w:val="24"/>
          <w:lang w:val="pl-PL" w:eastAsia="en-US" w:bidi="ar-SA"/>
        </w:rPr>
        <w:t>24</w:t>
      </w:r>
      <w:r>
        <w:rPr>
          <w:rFonts w:cs="Arial" w:ascii="Calibri" w:hAnsi="Calibri"/>
          <w:sz w:val="24"/>
          <w:szCs w:val="24"/>
        </w:rPr>
        <w:t xml:space="preserve"> m należy wykonać w klasie odporności pożarowej „C”.</w:t>
      </w:r>
    </w:p>
    <w:p>
      <w:pPr>
        <w:pStyle w:val="Normal"/>
        <w:ind w:right="-1" w:hanging="0"/>
        <w:jc w:val="both"/>
        <w:rPr>
          <w:rFonts w:ascii="Calibri" w:hAnsi="Calibri"/>
          <w:b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</w:r>
    </w:p>
    <w:p>
      <w:pPr>
        <w:pStyle w:val="Normal"/>
        <w:ind w:right="-1" w:hanging="0"/>
        <w:jc w:val="both"/>
        <w:rPr>
          <w:rFonts w:ascii="Calibri" w:hAnsi="Calibri"/>
        </w:rPr>
      </w:pPr>
      <w:r>
        <w:rPr>
          <w:rFonts w:ascii="Calibri" w:hAnsi="Calibri"/>
          <w:b/>
          <w:sz w:val="24"/>
          <w:szCs w:val="24"/>
        </w:rPr>
        <w:t>7.2. Klasa odporności ogniowej elementów budowlanych</w:t>
      </w:r>
    </w:p>
    <w:p>
      <w:pPr>
        <w:pStyle w:val="Normal"/>
        <w:ind w:right="-1" w:hanging="0"/>
        <w:jc w:val="both"/>
        <w:rPr>
          <w:rFonts w:ascii="Calibri" w:hAnsi="Calibri"/>
          <w:b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</w:r>
    </w:p>
    <w:p>
      <w:pPr>
        <w:pStyle w:val="Normal"/>
        <w:ind w:right="-1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 xml:space="preserve">Poszczególne elementy budowlane zaprojektowano odpowiednio do jego klasy </w:t>
        <w:tab/>
        <w:t xml:space="preserve">odporności pożarowej w następującej klasie odporności ogniowej: </w:t>
      </w:r>
    </w:p>
    <w:p>
      <w:pPr>
        <w:pStyle w:val="Normal"/>
        <w:ind w:left="0" w:right="-1" w:hanging="0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Klasa </w:t>
      </w:r>
      <w:r>
        <w:rPr>
          <w:rFonts w:eastAsia="Calibri" w:cs="Times New Roman" w:ascii="Calibri" w:hAnsi="Calibri"/>
          <w:b/>
          <w:bCs/>
          <w:color w:val="auto"/>
          <w:kern w:val="0"/>
          <w:sz w:val="24"/>
          <w:szCs w:val="24"/>
          <w:lang w:val="pl-PL" w:eastAsia="en-US" w:bidi="ar-SA"/>
        </w:rPr>
        <w:t>C</w:t>
      </w:r>
      <w:r>
        <w:rPr>
          <w:rFonts w:ascii="Calibri" w:hAnsi="Calibri"/>
          <w:b/>
          <w:bCs/>
        </w:rPr>
        <w:t xml:space="preserve"> </w:t>
      </w:r>
    </w:p>
    <w:tbl>
      <w:tblPr>
        <w:tblW w:w="8745" w:type="dxa"/>
        <w:jc w:val="left"/>
        <w:tblInd w:w="18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0"/>
        <w:gridCol w:w="3344"/>
      </w:tblGrid>
      <w:tr>
        <w:trPr>
          <w:trHeight w:val="360" w:hRule="exact"/>
          <w:cantSplit w:val="true"/>
        </w:trPr>
        <w:tc>
          <w:tcPr>
            <w:tcW w:w="5400" w:type="dxa"/>
            <w:vMerge w:val="restart"/>
            <w:tcBorders>
              <w:bottom w:val="single" w:sz="8" w:space="0" w:color="FFFFFF"/>
            </w:tcBorders>
            <w:shd w:fill="CCCCCC" w:val="clear"/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Calibri" w:hAnsi="Calibri" w:cs="Arial"/>
                <w:smallCaps/>
                <w:sz w:val="24"/>
                <w:szCs w:val="24"/>
              </w:rPr>
            </w:pPr>
            <w:r>
              <w:rPr>
                <w:rFonts w:cs="Arial" w:ascii="Calibri" w:hAnsi="Calibri"/>
                <w:smallCaps/>
                <w:sz w:val="24"/>
                <w:szCs w:val="24"/>
              </w:rPr>
              <w:t xml:space="preserve">Element </w:t>
            </w:r>
          </w:p>
          <w:p>
            <w:pPr>
              <w:pStyle w:val="Normal"/>
              <w:widowControl w:val="false"/>
              <w:jc w:val="center"/>
              <w:textAlignment w:val="baseline"/>
              <w:rPr>
                <w:rFonts w:ascii="Calibri" w:hAnsi="Calibri" w:cs="Arial"/>
                <w:smallCaps/>
                <w:sz w:val="24"/>
                <w:szCs w:val="24"/>
              </w:rPr>
            </w:pPr>
            <w:r>
              <w:rPr>
                <w:rFonts w:cs="Arial" w:ascii="Calibri" w:hAnsi="Calibri"/>
                <w:smallCaps/>
                <w:sz w:val="24"/>
                <w:szCs w:val="24"/>
              </w:rPr>
              <w:t>Budowlany</w:t>
            </w:r>
          </w:p>
        </w:tc>
        <w:tc>
          <w:tcPr>
            <w:tcW w:w="334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CCCCCC" w:val="clear"/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Calibri" w:hAnsi="Calibri" w:cs="Arial"/>
                <w:smallCaps/>
                <w:sz w:val="24"/>
                <w:szCs w:val="24"/>
              </w:rPr>
            </w:pPr>
            <w:r>
              <w:rPr>
                <w:rFonts w:cs="Arial" w:ascii="Calibri" w:hAnsi="Calibri"/>
                <w:smallCaps/>
                <w:sz w:val="24"/>
                <w:szCs w:val="24"/>
              </w:rPr>
              <w:t>Klasa odporności ogniowej</w:t>
            </w:r>
          </w:p>
        </w:tc>
      </w:tr>
      <w:tr>
        <w:trPr>
          <w:trHeight w:val="360" w:hRule="exact"/>
          <w:cantSplit w:val="true"/>
        </w:trPr>
        <w:tc>
          <w:tcPr>
            <w:tcW w:w="5400" w:type="dxa"/>
            <w:vMerge w:val="continue"/>
            <w:tcBorders>
              <w:bottom w:val="single" w:sz="8" w:space="0" w:color="FFFFFF"/>
            </w:tcBorders>
            <w:shd w:fill="CCCCCC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34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F2F2F2" w:val="clear"/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Calibri" w:hAnsi="Calibri" w:cs="Arial"/>
                <w:b/>
                <w:b/>
                <w:smallCaps/>
                <w:sz w:val="24"/>
                <w:szCs w:val="24"/>
              </w:rPr>
            </w:pPr>
            <w:r>
              <w:rPr>
                <w:rFonts w:cs="Arial" w:ascii="Calibri" w:hAnsi="Calibri"/>
                <w:b/>
                <w:smallCaps/>
                <w:sz w:val="24"/>
                <w:szCs w:val="24"/>
              </w:rPr>
              <w:t>WYMAGANA</w:t>
            </w:r>
          </w:p>
        </w:tc>
      </w:tr>
      <w:tr>
        <w:trPr/>
        <w:tc>
          <w:tcPr>
            <w:tcW w:w="5400" w:type="dxa"/>
            <w:tcBorders>
              <w:bottom w:val="single" w:sz="8" w:space="0" w:color="FFFFFF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napToGrid w:val="false"/>
              <w:textAlignment w:val="baseline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 xml:space="preserve">Główne elementy konstrukcyjne </w:t>
            </w:r>
          </w:p>
        </w:tc>
        <w:tc>
          <w:tcPr>
            <w:tcW w:w="334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Calibri" w:hAnsi="Calibri" w:cs="Arial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 xml:space="preserve">R </w:t>
            </w:r>
            <w:r>
              <w:rPr>
                <w:rFonts w:eastAsia="Calibri" w:cs="Arial" w:ascii="Calibri" w:hAnsi="Calibri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60</w:t>
            </w:r>
          </w:p>
        </w:tc>
      </w:tr>
      <w:tr>
        <w:trPr/>
        <w:tc>
          <w:tcPr>
            <w:tcW w:w="5400" w:type="dxa"/>
            <w:tcBorders>
              <w:bottom w:val="single" w:sz="8" w:space="0" w:color="FFFFFF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textAlignment w:val="baseline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Konstrukcja dachu</w:t>
            </w:r>
          </w:p>
        </w:tc>
        <w:tc>
          <w:tcPr>
            <w:tcW w:w="334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Calibri" w:hAnsi="Calibri" w:cs="Arial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 xml:space="preserve">R </w:t>
            </w:r>
            <w:r>
              <w:rPr>
                <w:rFonts w:eastAsia="Calibri" w:cs="Arial" w:ascii="Calibri" w:hAnsi="Calibri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15</w:t>
            </w:r>
          </w:p>
        </w:tc>
      </w:tr>
      <w:tr>
        <w:trPr/>
        <w:tc>
          <w:tcPr>
            <w:tcW w:w="5400" w:type="dxa"/>
            <w:tcBorders>
              <w:bottom w:val="single" w:sz="8" w:space="0" w:color="FFFFFF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napToGrid w:val="false"/>
              <w:textAlignment w:val="baseline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Strop</w:t>
            </w:r>
          </w:p>
        </w:tc>
        <w:tc>
          <w:tcPr>
            <w:tcW w:w="334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Calibri" w:hAnsi="Calibri" w:cs="Arial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>REI 60</w:t>
            </w:r>
          </w:p>
        </w:tc>
      </w:tr>
      <w:tr>
        <w:trPr>
          <w:trHeight w:val="1047" w:hRule="atLeast"/>
        </w:trPr>
        <w:tc>
          <w:tcPr>
            <w:tcW w:w="5400" w:type="dxa"/>
            <w:tcBorders>
              <w:bottom w:val="single" w:sz="8" w:space="0" w:color="FFFFFF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textAlignment w:val="baseline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Ściana zewnętrzna (dot. pasa międzykondygnacyjnego o szerokości 0,8 m wraz z połączeniem ze stropem)</w:t>
            </w:r>
          </w:p>
        </w:tc>
        <w:tc>
          <w:tcPr>
            <w:tcW w:w="334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Calibri" w:hAnsi="Calibri" w:cs="Arial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 xml:space="preserve">EI </w:t>
            </w:r>
            <w:r>
              <w:rPr>
                <w:rFonts w:eastAsia="Calibri" w:cs="Arial" w:ascii="Calibri" w:hAnsi="Calibri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3</w:t>
            </w: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>0</w:t>
            </w:r>
          </w:p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Calibri" w:hAnsi="Calibri" w:cs="Arial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Arial" w:ascii="Calibri" w:hAnsi="Calibri"/>
                <w:b/>
                <w:color w:val="000000"/>
                <w:sz w:val="24"/>
                <w:szCs w:val="24"/>
              </w:rPr>
              <w:t>o↔i</w:t>
            </w:r>
          </w:p>
        </w:tc>
      </w:tr>
      <w:tr>
        <w:trPr/>
        <w:tc>
          <w:tcPr>
            <w:tcW w:w="5400" w:type="dxa"/>
            <w:tcBorders>
              <w:bottom w:val="single" w:sz="8" w:space="0" w:color="FFFFFF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napToGrid w:val="false"/>
              <w:textAlignment w:val="baseline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Ściany wewnętrzne</w:t>
            </w:r>
          </w:p>
        </w:tc>
        <w:tc>
          <w:tcPr>
            <w:tcW w:w="334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Calibri" w:hAnsi="Calibri" w:eastAsia="Calibri" w:cs="Arial"/>
                <w:b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Arial" w:ascii="Calibri" w:hAnsi="Calibri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EI15</w:t>
            </w:r>
          </w:p>
        </w:tc>
      </w:tr>
      <w:tr>
        <w:trPr/>
        <w:tc>
          <w:tcPr>
            <w:tcW w:w="5400" w:type="dxa"/>
            <w:tcBorders>
              <w:bottom w:val="single" w:sz="8" w:space="0" w:color="FFFFFF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textAlignment w:val="baseline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Przekrycie dachu – nie dotyczy, jeżeli nad najwyższą kondygnacją znajduje się strop spełniający te kryteria</w:t>
            </w:r>
          </w:p>
        </w:tc>
        <w:tc>
          <w:tcPr>
            <w:tcW w:w="334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Calibri" w:hAnsi="Calibri" w:eastAsia="Calibri" w:cs="Arial"/>
                <w:b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Arial" w:ascii="Calibri" w:hAnsi="Calibri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RE15</w:t>
            </w:r>
          </w:p>
        </w:tc>
      </w:tr>
      <w:tr>
        <w:trPr/>
        <w:tc>
          <w:tcPr>
            <w:tcW w:w="5400" w:type="dxa"/>
            <w:tcBorders>
              <w:bottom w:val="single" w:sz="8" w:space="0" w:color="FFFFFF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napToGrid w:val="false"/>
              <w:textAlignment w:val="baseline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 xml:space="preserve">Ściany </w:t>
            </w:r>
            <w:r>
              <w:rPr>
                <w:rFonts w:eastAsia="Calibri" w:cs="Arial" w:ascii="Calibri" w:hAnsi="Calibri"/>
                <w:color w:val="auto"/>
                <w:kern w:val="0"/>
                <w:sz w:val="24"/>
                <w:szCs w:val="24"/>
                <w:lang w:val="pl-PL" w:eastAsia="en-US" w:bidi="ar-SA"/>
              </w:rPr>
              <w:t>oddzielenia przeciwpożarowego  (fragmenty ścian)</w:t>
            </w:r>
          </w:p>
        </w:tc>
        <w:tc>
          <w:tcPr>
            <w:tcW w:w="334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textAlignment w:val="baseline"/>
              <w:rPr>
                <w:rFonts w:ascii="Calibri" w:hAnsi="Calibri" w:eastAsia="Calibri" w:cs="Arial"/>
                <w:b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</w:pPr>
            <w:r>
              <w:rPr>
                <w:rFonts w:eastAsia="Calibri" w:cs="Arial" w:ascii="Calibri" w:hAnsi="Calibri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  <w:t>REI 120</w:t>
            </w:r>
          </w:p>
        </w:tc>
      </w:tr>
    </w:tbl>
    <w:p>
      <w:pPr>
        <w:pStyle w:val="Tretekstu"/>
        <w:ind w:left="0" w:right="-1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ind w:right="-1" w:hanging="0"/>
        <w:jc w:val="both"/>
        <w:rPr>
          <w:rFonts w:ascii="Calibri" w:hAnsi="Calibri"/>
        </w:rPr>
      </w:pPr>
      <w:r>
        <w:rPr>
          <w:rFonts w:ascii="Calibri" w:hAnsi="Calibri"/>
          <w:b/>
          <w:sz w:val="24"/>
          <w:szCs w:val="24"/>
        </w:rPr>
        <w:t>7.3. Stopień rozprzestrzeniania ognia</w:t>
      </w:r>
    </w:p>
    <w:p>
      <w:pPr>
        <w:pStyle w:val="Normal"/>
        <w:ind w:right="-1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ind w:right="-1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Wszystkie elementy budowlane zaprojektowano o cesze nie rozprzestrzeniania ognia. Przekrycie dachu – klasa Broof (t1) lub RE30, zgodnie z rysunkiem dachu.</w:t>
      </w:r>
    </w:p>
    <w:p>
      <w:pPr>
        <w:pStyle w:val="Normal"/>
        <w:ind w:right="-1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występowaniu materiałów wybuchowych oraz zagrożenia wybuchem, w tym pomieszczeń zagrożonych wybuchem</w:t>
      </w:r>
    </w:p>
    <w:p>
      <w:pPr>
        <w:pStyle w:val="ListParagraph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W budynk</w:t>
      </w:r>
      <w:r>
        <w:rPr>
          <w:rFonts w:eastAsia="Calibri" w:cs="Times New Roman" w:ascii="Calibri" w:hAnsi="Calibri" w:eastAsiaTheme="minorHAnsi"/>
          <w:color w:val="auto"/>
          <w:kern w:val="0"/>
          <w:sz w:val="24"/>
          <w:szCs w:val="24"/>
          <w:lang w:val="pl-PL" w:eastAsia="en-US" w:bidi="ar-SA"/>
        </w:rPr>
        <w:t>ach</w:t>
      </w:r>
      <w:r>
        <w:rPr>
          <w:rFonts w:ascii="Calibri" w:hAnsi="Calibri"/>
          <w:sz w:val="24"/>
          <w:szCs w:val="24"/>
        </w:rPr>
        <w:t xml:space="preserve"> nie przewiduje się pomieszczeń i przestrzeni zewnętrznych, kwalifikowanych do zagrożonych wybuchem. </w:t>
      </w:r>
    </w:p>
    <w:p>
      <w:pPr>
        <w:pStyle w:val="ListParagraph"/>
        <w:ind w:left="720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warunkach i strategii ewakuacji ludzi lub ich uratowania w inny sposób, uwzględniające liczbę i stan sprawności osób przebywających w obiekcie</w:t>
      </w:r>
    </w:p>
    <w:p>
      <w:pPr>
        <w:pStyle w:val="ListParagraph"/>
        <w:numPr>
          <w:ilvl w:val="0"/>
          <w:numId w:val="0"/>
        </w:numPr>
        <w:ind w:left="1428" w:hanging="0"/>
        <w:jc w:val="both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Normal"/>
        <w:tabs>
          <w:tab w:val="clear" w:pos="708"/>
          <w:tab w:val="left" w:pos="-900" w:leader="none"/>
        </w:tabs>
        <w:jc w:val="both"/>
        <w:rPr>
          <w:rFonts w:ascii="Calibri" w:hAnsi="Calibri"/>
        </w:rPr>
      </w:pPr>
      <w:r>
        <w:rPr>
          <w:rFonts w:eastAsia="Calibri" w:cs="Times New Roman" w:ascii="Calibri" w:hAnsi="Calibri" w:eastAsiaTheme="minorHAnsi"/>
          <w:color w:val="auto"/>
          <w:kern w:val="0"/>
          <w:sz w:val="24"/>
          <w:szCs w:val="24"/>
          <w:lang w:val="pl-PL" w:eastAsia="en-US" w:bidi="ar-SA"/>
        </w:rPr>
        <w:t>Ewakuacje z pomieszczeń przeznaczonych na pobyt ludzi – odbywa się poprzez drogi ewakuacji ogólnej na zewnątrz budynku.</w:t>
      </w:r>
    </w:p>
    <w:p>
      <w:pPr>
        <w:pStyle w:val="Normal"/>
        <w:tabs>
          <w:tab w:val="clear" w:pos="708"/>
          <w:tab w:val="left" w:pos="-900" w:leader="none"/>
        </w:tabs>
        <w:ind w:hanging="0"/>
        <w:jc w:val="both"/>
        <w:rPr>
          <w:rFonts w:ascii="Calibri" w:hAnsi="Calibri"/>
        </w:rPr>
      </w:pPr>
      <w:r>
        <w:rPr>
          <w:rFonts w:eastAsia="Calibri" w:cs="Times New Roman" w:ascii="Calibri" w:hAnsi="Calibri" w:eastAsiaTheme="minorHAnsi"/>
          <w:color w:val="auto"/>
          <w:kern w:val="0"/>
          <w:sz w:val="24"/>
          <w:szCs w:val="24"/>
          <w:lang w:val="pl-PL" w:eastAsia="en-US" w:bidi="ar-SA"/>
        </w:rPr>
        <w:t>Z pomieszczeń na pobyt ludzi zapewniono dojścia ewakuacyjne o długości nie przekraczającej  30 m na poziomej drodze ewakuacyjnej przy jednym dojściu (w tym nie więcej niż 20 m na poziomej drodze ewakuacyjnej) i 60 m przy dwóch dojściach.</w:t>
      </w:r>
    </w:p>
    <w:p>
      <w:pPr>
        <w:pStyle w:val="Normal"/>
        <w:tabs>
          <w:tab w:val="clear" w:pos="708"/>
          <w:tab w:val="left" w:pos="-900" w:leader="none"/>
        </w:tabs>
        <w:ind w:hanging="0"/>
        <w:jc w:val="both"/>
        <w:rPr>
          <w:rFonts w:ascii="Calibri" w:hAnsi="Calibri"/>
        </w:rPr>
      </w:pPr>
      <w:r>
        <w:rPr>
          <w:rFonts w:eastAsia="Calibri" w:cs="Times New Roman" w:ascii="Calibri" w:hAnsi="Calibri" w:eastAsiaTheme="minorHAnsi"/>
          <w:color w:val="auto"/>
          <w:kern w:val="0"/>
          <w:sz w:val="24"/>
          <w:szCs w:val="24"/>
          <w:lang w:val="pl-PL" w:eastAsia="en-US" w:bidi="ar-SA"/>
        </w:rPr>
        <w:t>Przewiduje się zapewnienie oddymiania klatki schodowej. Przewidziano grawitacyjny system oddymiania z klapą oddymiającą i wentylacją mechaniczną napowietrzającą – wg projektu technicznego oddymiania.</w:t>
      </w:r>
    </w:p>
    <w:p>
      <w:pPr>
        <w:pStyle w:val="Normal"/>
        <w:tabs>
          <w:tab w:val="clear" w:pos="708"/>
          <w:tab w:val="left" w:pos="-900" w:leader="none"/>
        </w:tabs>
        <w:ind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doborze urządzeń przeciwpożarowych oraz innych instalacji i urządzeń służących bezpieczeństwu pożarowemu wraz z określeniem zakresu i celu ich stosowania</w:t>
      </w:r>
    </w:p>
    <w:p>
      <w:pPr>
        <w:pStyle w:val="Normal"/>
        <w:ind w:hanging="0"/>
        <w:jc w:val="both"/>
        <w:rPr>
          <w:rFonts w:ascii="Calibri" w:hAnsi="Calibri"/>
        </w:rPr>
      </w:pPr>
      <w:r>
        <w:rPr>
          <w:rFonts w:eastAsia="Calibri" w:cs="Times New Roman" w:ascii="Calibri" w:hAnsi="Calibri" w:eastAsiaTheme="minorHAnsi"/>
          <w:color w:val="auto"/>
          <w:kern w:val="0"/>
          <w:sz w:val="24"/>
          <w:szCs w:val="24"/>
          <w:lang w:val="pl-PL" w:eastAsia="en-US" w:bidi="ar-SA"/>
        </w:rPr>
        <w:t xml:space="preserve">Budynek wyposażono w następujące urządzenia przeciwpożarowe: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720" w:leader="none"/>
          <w:tab w:val="left" w:pos="993" w:leader="none"/>
        </w:tabs>
        <w:ind w:left="993" w:hanging="360"/>
        <w:jc w:val="both"/>
        <w:rPr>
          <w:rFonts w:ascii="Calibri" w:hAnsi="Calibri"/>
        </w:rPr>
      </w:pPr>
      <w:r>
        <w:rPr>
          <w:rFonts w:ascii="Calibri" w:hAnsi="Calibri"/>
        </w:rPr>
        <w:t>awaryjne oświetlenie ewakuacyjne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720" w:leader="none"/>
          <w:tab w:val="left" w:pos="993" w:leader="none"/>
        </w:tabs>
        <w:ind w:left="993" w:hanging="360"/>
        <w:jc w:val="both"/>
        <w:rPr>
          <w:rFonts w:ascii="Calibri" w:hAnsi="Calibri"/>
        </w:rPr>
      </w:pPr>
      <w:r>
        <w:rPr>
          <w:rFonts w:ascii="Calibri" w:hAnsi="Calibri"/>
        </w:rPr>
        <w:t xml:space="preserve">przeciwpożarowy wyłącznik prądu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720" w:leader="none"/>
          <w:tab w:val="left" w:pos="993" w:leader="none"/>
        </w:tabs>
        <w:ind w:left="993" w:hanging="360"/>
        <w:jc w:val="both"/>
        <w:rPr>
          <w:rFonts w:ascii="Calibri" w:hAnsi="Calibri"/>
        </w:rPr>
      </w:pPr>
      <w:r>
        <w:rPr>
          <w:rFonts w:ascii="Calibri" w:hAnsi="Calibri"/>
        </w:rPr>
        <w:t>hydranty zewnętrzne – istniejące DN80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720" w:leader="none"/>
          <w:tab w:val="left" w:pos="993" w:leader="none"/>
        </w:tabs>
        <w:ind w:left="993" w:hanging="360"/>
        <w:jc w:val="both"/>
        <w:rPr>
          <w:rFonts w:ascii="Calibri" w:hAnsi="Calibri"/>
        </w:rPr>
      </w:pPr>
      <w:r>
        <w:rPr>
          <w:rFonts w:ascii="Calibri" w:hAnsi="Calibri"/>
        </w:rPr>
        <w:t xml:space="preserve">podziemny zbiornik p.poż. </w:t>
      </w:r>
      <w:r>
        <w:rPr>
          <w:rFonts w:eastAsia="Calibri" w:cs="Times New Roman" w:ascii="Calibri" w:hAnsi="Calibri" w:eastAsiaTheme="minorHAnsi"/>
          <w:color w:val="auto"/>
          <w:kern w:val="0"/>
          <w:sz w:val="24"/>
          <w:szCs w:val="24"/>
          <w:lang w:val="pl-PL" w:eastAsia="en-US" w:bidi="ar-SA"/>
        </w:rPr>
        <w:t>o</w:t>
      </w:r>
      <w:r>
        <w:rPr>
          <w:rFonts w:ascii="Calibri" w:hAnsi="Calibri"/>
        </w:rPr>
        <w:t xml:space="preserve"> poj. 100 m3 z zestawem hydroforowym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720" w:leader="none"/>
          <w:tab w:val="left" w:pos="993" w:leader="none"/>
        </w:tabs>
        <w:ind w:left="993" w:hanging="360"/>
        <w:jc w:val="both"/>
        <w:rPr>
          <w:rFonts w:ascii="Calibri" w:hAnsi="Calibri"/>
        </w:rPr>
      </w:pPr>
      <w:r>
        <w:rPr>
          <w:rFonts w:ascii="Calibri" w:hAnsi="Calibri"/>
        </w:rPr>
        <w:t>hydranty wewnętrzne – HP 25 o długości węza 30 m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720" w:leader="none"/>
          <w:tab w:val="left" w:pos="993" w:leader="none"/>
        </w:tabs>
        <w:ind w:left="993" w:hanging="360"/>
        <w:jc w:val="both"/>
        <w:rPr>
          <w:rFonts w:ascii="Calibri" w:hAnsi="Calibri"/>
        </w:rPr>
      </w:pPr>
      <w:r>
        <w:rPr>
          <w:rFonts w:ascii="Calibri" w:hAnsi="Calibri"/>
        </w:rPr>
        <w:t xml:space="preserve">przeciwpożarowe klapy odcinające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720" w:leader="none"/>
          <w:tab w:val="left" w:pos="993" w:leader="none"/>
        </w:tabs>
        <w:ind w:left="993" w:hanging="360"/>
        <w:jc w:val="both"/>
        <w:rPr>
          <w:rFonts w:ascii="Calibri" w:hAnsi="Calibri"/>
        </w:rPr>
      </w:pPr>
      <w:r>
        <w:rPr>
          <w:rFonts w:eastAsia="Calibri" w:cs="Times New Roman" w:ascii="Calibri" w:hAnsi="Calibri" w:eastAsiaTheme="minorHAns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>urządzenie oddymiające (klapa dymowa) – wg projektu oddymiania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720" w:leader="none"/>
          <w:tab w:val="left" w:pos="993" w:leader="none"/>
        </w:tabs>
        <w:ind w:left="993" w:hanging="360"/>
        <w:jc w:val="both"/>
        <w:rPr>
          <w:rFonts w:ascii="Calibri" w:hAnsi="Calibri"/>
        </w:rPr>
      </w:pPr>
      <w:r>
        <w:rPr>
          <w:rFonts w:eastAsia="Calibri" w:cs="Times New Roman" w:ascii="Calibri" w:hAnsi="Calibri" w:eastAsiaTheme="minorHAns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>scenariusz rozwoju zdarzeń w czasie pożaru oraz współdziałania urządzeń przeciwpożarowych – wg projektu technicznego</w:t>
      </w:r>
    </w:p>
    <w:p>
      <w:pPr>
        <w:pStyle w:val="Normal"/>
        <w:tabs>
          <w:tab w:val="clear" w:pos="708"/>
          <w:tab w:val="left" w:pos="720" w:leader="none"/>
          <w:tab w:val="left" w:pos="993" w:leader="none"/>
        </w:tabs>
        <w:ind w:left="993" w:hanging="36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przygotowaniu obiektu budowlanego do prowadzenia działań ratowniczych, w tym informacje o punktach poboru wody do celów przeciwpożarowych, nasadach służących do zasilania urządzeń gaśniczych i innych rozwiązaniach przewidzianych do tych działań oraz dźwigach dla ekip ratowniczych i prowadzących do nich dojściach</w:t>
      </w:r>
    </w:p>
    <w:p>
      <w:pPr>
        <w:pStyle w:val="ListParagraph"/>
        <w:numPr>
          <w:ilvl w:val="0"/>
          <w:numId w:val="0"/>
        </w:numPr>
        <w:ind w:left="1428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0" w:leader="none"/>
          <w:tab w:val="left" w:pos="360" w:leader="none"/>
        </w:tabs>
        <w:jc w:val="both"/>
        <w:rPr>
          <w:rFonts w:ascii="Calibri" w:hAnsi="Calibri"/>
        </w:rPr>
      </w:pPr>
      <w:r>
        <w:rPr>
          <w:rFonts w:eastAsia="Calibri" w:cs="Times New Roman" w:ascii="Calibri" w:hAnsi="Calibri" w:eastAsiaTheme="minorHAns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 xml:space="preserve">Dojazd pożarowy zapewniono zgodnie z możliwościami wynikającymi z § 12. 7. Rozporządzenia Ministra Spraw Wewnętrznych i Administracji z dnia 24.07.2009 r. w sprawie przeciwpożarowego zaopatrzenia w wodę oraz dróg pożarowych, poprzez połączenie z drogą pożarową wyjścia z projektowanego budynku, na zasadzie  utwardzonego dojścia o szerokości minimalnej 1,5 m i długości nie większej niż 30 m, </w:t>
        <w:tab/>
        <w:t xml:space="preserve">w sposób zapewniający dotarcie bezpośrednio lub drogami ewakuacyjnymi do każdej strefy pożarowej. </w:t>
      </w:r>
    </w:p>
    <w:p>
      <w:pPr>
        <w:pStyle w:val="Normal"/>
        <w:tabs>
          <w:tab w:val="clear" w:pos="708"/>
          <w:tab w:val="left" w:pos="0" w:leader="none"/>
          <w:tab w:val="left" w:pos="360" w:leader="none"/>
        </w:tabs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0" w:leader="none"/>
          <w:tab w:val="left" w:pos="360" w:leader="none"/>
        </w:tabs>
        <w:jc w:val="both"/>
        <w:rPr>
          <w:rFonts w:ascii="Calibri" w:hAnsi="Calibri"/>
        </w:rPr>
      </w:pPr>
      <w:r>
        <w:rPr>
          <w:rFonts w:eastAsia="Calibri" w:cs="Times New Roman" w:ascii="Calibri" w:hAnsi="Calibri" w:eastAsiaTheme="minorHAnsi"/>
          <w:b w:val="false"/>
          <w:bCs w:val="false"/>
          <w:color w:val="auto"/>
          <w:kern w:val="0"/>
          <w:sz w:val="24"/>
          <w:szCs w:val="24"/>
          <w:u w:val="single"/>
          <w:lang w:val="pl-PL" w:eastAsia="en-US" w:bidi="ar-SA"/>
        </w:rPr>
        <w:t>Wymagania ogólne</w:t>
      </w:r>
    </w:p>
    <w:p>
      <w:pPr>
        <w:pStyle w:val="Normal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Drogi pożarowe i drogi dojazdowe do nich przebiegały będą w odległości co najmniej </w:t>
        <w:tab/>
        <w:t>5 m od chronionych obiektów.  Szerokość dróg pożarowych oraz dojazdowych wynosi</w:t>
      </w:r>
      <w:r>
        <w:rPr>
          <w:rFonts w:eastAsia="Calibri" w:cs="Times New Roman" w:ascii="Calibri" w:hAnsi="Calibri"/>
          <w:color w:val="auto"/>
          <w:kern w:val="0"/>
          <w:sz w:val="24"/>
          <w:szCs w:val="24"/>
          <w:lang w:val="pl-PL" w:eastAsia="en-US" w:bidi="ar-SA"/>
        </w:rPr>
        <w:t>ć</w:t>
      </w:r>
      <w:r>
        <w:rPr>
          <w:rFonts w:ascii="Calibri" w:hAnsi="Calibri"/>
        </w:rPr>
        <w:t xml:space="preserve"> będzie min. 4 m a ich nachylenie nie przekroczy 5%. Na teren działki zapewniony zostanie co najmniej jeden wjazd.</w:t>
      </w:r>
    </w:p>
    <w:p>
      <w:pPr>
        <w:pStyle w:val="Normal"/>
        <w:ind w:left="0" w:right="0" w:hanging="0"/>
        <w:jc w:val="both"/>
        <w:rPr>
          <w:rFonts w:ascii="Calibri" w:hAnsi="Calibri" w:eastAsia="Calibri" w:cs="Times New Roman"/>
          <w:color w:val="auto"/>
          <w:kern w:val="0"/>
          <w:sz w:val="24"/>
          <w:szCs w:val="24"/>
          <w:lang w:val="pl-PL" w:eastAsia="en-US" w:bidi="ar-SA"/>
        </w:rPr>
      </w:pPr>
      <w:r>
        <w:rPr>
          <w:rFonts w:eastAsia="Calibri" w:cs="Times New Roman" w:ascii="Calibri" w:hAnsi="Calibri"/>
          <w:color w:val="auto"/>
          <w:kern w:val="0"/>
          <w:sz w:val="24"/>
          <w:szCs w:val="24"/>
          <w:lang w:val="pl-PL" w:eastAsia="en-US" w:bidi="ar-SA"/>
        </w:rPr>
        <w:t xml:space="preserve">Pomiędzy droga pożarową a ścianą budynku nie mogą występować stałe elementy zagospodarowania terenu lub drzewa i krzewy o wysokości przekraczającej 3 m, uniemożliwiające dostęp do elewacji budynku za pomocą podnośników i drabin mechanicznych. Droga pożarowa powinna zapewniać przejazd bez cofania. Dopuszcza się wykonanie odcinka drogi pożarowej o długości nie większej niż 15 m, z którego wyjazd jest możliwy jedynie przez cofanie pojazdu. Droga pożarowa powinna umożliwiać przejazd pojazdów o nacisku osi na nawierzchnię jezdni co najmniej 100 kN. Najmniejszy promień zewnętrznego łuku </w:t>
        <w:tab/>
        <w:t xml:space="preserve">drogi pożarowej nie będzie wynosić mniej niż 11 m. </w:t>
      </w:r>
    </w:p>
    <w:p>
      <w:pPr>
        <w:pStyle w:val="Normal"/>
        <w:tabs>
          <w:tab w:val="clear" w:pos="708"/>
          <w:tab w:val="left" w:pos="0" w:leader="none"/>
          <w:tab w:val="left" w:pos="360" w:leader="none"/>
        </w:tabs>
        <w:ind w:left="0" w:right="0" w:hanging="0"/>
        <w:jc w:val="both"/>
        <w:rPr>
          <w:rFonts w:ascii="Calibri" w:hAnsi="Calibri"/>
        </w:rPr>
      </w:pPr>
      <w:r>
        <w:rPr>
          <w:rFonts w:eastAsia="Calibri" w:cs="Times New Roman" w:ascii="Calibri" w:hAnsi="Calibri" w:eastAsiaTheme="minorHAnsi"/>
          <w:b w:val="false"/>
          <w:bCs w:val="false"/>
          <w:color w:val="auto"/>
          <w:kern w:val="0"/>
          <w:sz w:val="24"/>
          <w:szCs w:val="24"/>
          <w:lang w:val="pl-PL" w:eastAsia="en-US" w:bidi="ar-SA"/>
        </w:rPr>
        <w:t xml:space="preserve">Wymagania dotyczące dróg pożarowych zostaną spełnione. </w:t>
      </w:r>
    </w:p>
    <w:p>
      <w:pPr>
        <w:pStyle w:val="ListParagraph"/>
        <w:rPr>
          <w:rFonts w:ascii="Calibri" w:hAnsi="Calibri" w:eastAsia="Calibri" w:cs="Times New Roman" w:eastAsiaTheme="minorHAnsi"/>
          <w:color w:val="auto"/>
          <w:kern w:val="0"/>
          <w:sz w:val="24"/>
          <w:szCs w:val="24"/>
          <w:lang w:val="pl-PL" w:eastAsia="en-US" w:bidi="ar-SA"/>
        </w:rPr>
      </w:pPr>
      <w:r>
        <w:rPr>
          <w:rFonts w:eastAsia="Calibri" w:cs="Times New Roman" w:eastAsiaTheme="minorHAnsi" w:ascii="Calibri" w:hAnsi="Calibri"/>
          <w:color w:val="auto"/>
          <w:kern w:val="0"/>
          <w:sz w:val="24"/>
          <w:szCs w:val="24"/>
          <w:lang w:val="pl-PL" w:eastAsia="en-US" w:bidi="ar-SA"/>
        </w:rPr>
      </w:r>
    </w:p>
    <w:p>
      <w:pPr>
        <w:pStyle w:val="Normal"/>
        <w:ind w:left="0" w:right="0" w:hanging="0"/>
        <w:jc w:val="both"/>
        <w:rPr/>
      </w:pPr>
      <w:r>
        <w:rPr>
          <w:rFonts w:cs="Calibri" w:ascii="Calibri" w:hAnsi="Calibri"/>
        </w:rPr>
        <w:t xml:space="preserve">Zapotrzebowanie na wodę do celów przeciwpożarowych do zewnętrznego gaszenia pożaru dla obiektu należy zapewnić 20 dm3/s z co najmniej dwóch hydrantów o średnicy 80 mm lub 200 m3 zapasu wody w przeciwpożarowym zbiorniku wodnym – zakłada się zaopatrzenie z jednego istniejącego hydrantu zewnętrznego DN 80 z sieci miejskiej, zlokalizowanego w odległości od 5 m do 75 m od projektowanego obiektu. Pozostałą brakującą ilość 10 l/s zapewniono poprzez zaprojektowany 1 hydrant zewnętrzny </w:t>
      </w:r>
      <w:r>
        <w:rPr>
          <w:rFonts w:eastAsia="Calibri" w:cs="Calibri" w:ascii="Calibri" w:hAnsi="Calibri"/>
          <w:color w:val="auto"/>
          <w:kern w:val="0"/>
          <w:sz w:val="24"/>
          <w:szCs w:val="24"/>
          <w:lang w:val="pl-PL" w:eastAsia="en-US" w:bidi="ar-SA"/>
        </w:rPr>
        <w:t>DN</w:t>
      </w:r>
      <w:r>
        <w:rPr>
          <w:rFonts w:cs="Calibri" w:ascii="Calibri" w:hAnsi="Calibri"/>
        </w:rPr>
        <w:t xml:space="preserve"> 80 zasilany z </w:t>
      </w:r>
      <w:r>
        <w:rPr>
          <w:rFonts w:cs="Calibri" w:ascii="Calibri" w:hAnsi="Calibri"/>
        </w:rPr>
        <w:t xml:space="preserve">podziemnego </w:t>
      </w:r>
      <w:r>
        <w:rPr>
          <w:rFonts w:cs="Calibri" w:ascii="Calibri" w:hAnsi="Calibri"/>
        </w:rPr>
        <w:t>zbiornika p.poż. betonowego o pojemności użytkowej 100 m3 poprzez zestaw hydroforowy zlokalizowany w studzience.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usytuowaniu z uwagi na bezpieczeństwo pożarowe, w tym informacje o parametrach wpływających na odległości dopuszczalne</w:t>
      </w:r>
    </w:p>
    <w:p>
      <w:pPr>
        <w:pStyle w:val="ListParagraph"/>
        <w:numPr>
          <w:ilvl w:val="0"/>
          <w:numId w:val="0"/>
        </w:numPr>
        <w:ind w:left="1428" w:hanging="0"/>
        <w:jc w:val="both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708" w:right="0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 xml:space="preserve">Odległości </w:t>
      </w:r>
      <w:r>
        <w:rPr>
          <w:rFonts w:eastAsia="Calibri" w:cs="Times New Roman" w:ascii="Calibri" w:hAnsi="Calibri" w:eastAsiaTheme="minorHAnsi"/>
          <w:color w:val="auto"/>
          <w:kern w:val="0"/>
          <w:sz w:val="24"/>
          <w:szCs w:val="24"/>
          <w:lang w:val="pl-PL" w:eastAsia="en-US" w:bidi="ar-SA"/>
        </w:rPr>
        <w:t>projektowanego budynku od granic działki i istniejących budynków ZL zostały zachowane. Pomiędzy projektowanym i istniejącym budynkiem zostały zaprojektowane ściany oddzielenia przeciwpożarowego REI120.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708" w:right="0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ab/>
        <w:t xml:space="preserve"> </w:t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4"/>
          <w:szCs w:val="24"/>
        </w:rPr>
        <w:t>Informacje o rozwiązaniach zamiennych w stosunku do wymagań ochrony przeciwpożarowej zastosowanych na podstawie zgody, o której mowa w art. 6c pkt 1 lub 2 ustawy z dnia 24 sierpnia 1991 r. o ochronie przeciwpożarowej, w zakresie rozwiązań objętych projektem architektoniczno-budowlanym</w:t>
      </w:r>
    </w:p>
    <w:p>
      <w:pPr>
        <w:pStyle w:val="ListParagraph"/>
        <w:numPr>
          <w:ilvl w:val="0"/>
          <w:numId w:val="0"/>
        </w:numPr>
        <w:ind w:left="1428" w:hanging="0"/>
        <w:jc w:val="both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397" w:right="0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Nie dotyczy.</w:t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ind w:left="708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right"/>
        <w:rPr/>
      </w:pPr>
      <w:r>
        <w:rPr>
          <w:rFonts w:eastAsia="NSimSun" w:cs="Arial" w:ascii="Calibri" w:hAnsi="Calibri"/>
          <w:b/>
          <w:color w:val="auto"/>
          <w:kern w:val="2"/>
          <w:sz w:val="24"/>
          <w:szCs w:val="24"/>
          <w:lang w:val="pl-PL" w:eastAsia="zh-CN" w:bidi="hi-IN"/>
        </w:rPr>
        <w:t>Opracowała</w:t>
      </w:r>
      <w:r>
        <w:rPr>
          <w:rFonts w:ascii="Calibri" w:hAnsi="Calibri"/>
          <w:b/>
          <w:color w:val="auto"/>
          <w:sz w:val="24"/>
          <w:szCs w:val="24"/>
        </w:rPr>
        <w:t>:</w:t>
      </w:r>
    </w:p>
    <w:p>
      <w:pPr>
        <w:pStyle w:val="Normal"/>
        <w:shd w:val="clear" w:color="auto" w:fill="FFFFFF"/>
        <w:jc w:val="right"/>
        <w:rPr>
          <w:rFonts w:ascii="Calibri" w:hAnsi="Calibri"/>
          <w:color w:val="auto"/>
          <w:spacing w:val="-4"/>
          <w:sz w:val="24"/>
          <w:szCs w:val="24"/>
        </w:rPr>
      </w:pPr>
      <w:r>
        <w:rPr>
          <w:rFonts w:ascii="Calibri" w:hAnsi="Calibri"/>
          <w:color w:val="auto"/>
          <w:spacing w:val="-4"/>
          <w:sz w:val="24"/>
          <w:szCs w:val="24"/>
        </w:rPr>
      </w:r>
    </w:p>
    <w:p>
      <w:pPr>
        <w:pStyle w:val="Normal"/>
        <w:shd w:val="clear" w:color="auto" w:fill="FFFFFF"/>
        <w:jc w:val="right"/>
        <w:rPr>
          <w:rFonts w:ascii="Calibri" w:hAnsi="Calibri"/>
          <w:color w:val="auto"/>
          <w:spacing w:val="-4"/>
          <w:sz w:val="24"/>
          <w:szCs w:val="24"/>
        </w:rPr>
      </w:pPr>
      <w:r>
        <w:rPr>
          <w:rFonts w:ascii="Calibri" w:hAnsi="Calibri"/>
          <w:color w:val="auto"/>
          <w:spacing w:val="-4"/>
          <w:sz w:val="24"/>
          <w:szCs w:val="24"/>
        </w:rPr>
      </w:r>
    </w:p>
    <w:p>
      <w:pPr>
        <w:pStyle w:val="Normal"/>
        <w:shd w:val="clear" w:color="auto" w:fill="FFFFFF"/>
        <w:jc w:val="right"/>
        <w:rPr>
          <w:rFonts w:ascii="Calibri" w:hAnsi="Calibri"/>
          <w:color w:val="auto"/>
          <w:spacing w:val="-4"/>
          <w:sz w:val="24"/>
          <w:szCs w:val="24"/>
        </w:rPr>
      </w:pPr>
      <w:r>
        <w:rPr>
          <w:rFonts w:ascii="Calibri" w:hAnsi="Calibri"/>
          <w:color w:val="auto"/>
          <w:spacing w:val="-4"/>
          <w:sz w:val="24"/>
          <w:szCs w:val="24"/>
        </w:rPr>
      </w:r>
    </w:p>
    <w:p>
      <w:pPr>
        <w:pStyle w:val="Normal"/>
        <w:shd w:val="clear" w:color="auto" w:fill="FFFFFF"/>
        <w:jc w:val="right"/>
        <w:rPr/>
      </w:pPr>
      <w:r>
        <w:rPr>
          <w:rFonts w:eastAsia="NSimSun" w:cs="Arial" w:ascii="Calibri" w:hAnsi="Calibri"/>
          <w:color w:val="auto"/>
          <w:spacing w:val="-4"/>
          <w:kern w:val="2"/>
          <w:sz w:val="24"/>
          <w:szCs w:val="24"/>
          <w:lang w:val="pl-PL" w:eastAsia="zh-CN" w:bidi="hi-IN"/>
        </w:rPr>
        <w:t>mgr inż. arch. Joanna Marta Mazepa</w:t>
      </w:r>
    </w:p>
    <w:p>
      <w:pPr>
        <w:pStyle w:val="Normal"/>
        <w:shd w:val="clear" w:color="auto" w:fill="FFFFFF"/>
        <w:jc w:val="right"/>
        <w:rPr/>
      </w:pPr>
      <w:r>
        <w:rPr>
          <w:rFonts w:eastAsia="NSimSun" w:cs="Arial" w:ascii="Calibri" w:hAnsi="Calibri"/>
          <w:color w:val="auto"/>
          <w:spacing w:val="-4"/>
          <w:kern w:val="2"/>
          <w:sz w:val="24"/>
          <w:szCs w:val="24"/>
          <w:lang w:val="pl-PL" w:eastAsia="zh-CN" w:bidi="hi-IN"/>
        </w:rPr>
        <w:tab/>
        <w:tab/>
        <w:tab/>
        <w:tab/>
        <w:tab/>
        <w:tab/>
        <w:tab/>
        <w:tab/>
        <w:t xml:space="preserve">     upr. bud. nr 10/WPOKK/2012</w:t>
      </w:r>
    </w:p>
    <w:p>
      <w:pPr>
        <w:pStyle w:val="Normal"/>
        <w:shd w:val="clear" w:color="auto" w:fill="FFFFFF"/>
        <w:jc w:val="right"/>
        <w:rPr/>
      </w:pPr>
      <w:r>
        <w:rPr>
          <w:rFonts w:eastAsia="NSimSun" w:cs="Arial" w:ascii="Calibri" w:hAnsi="Calibri"/>
          <w:color w:val="auto"/>
          <w:spacing w:val="-4"/>
          <w:kern w:val="2"/>
          <w:sz w:val="24"/>
          <w:szCs w:val="24"/>
          <w:lang w:val="pl-PL" w:eastAsia="zh-CN" w:bidi="hi-IN"/>
        </w:rPr>
        <w:tab/>
        <w:tab/>
        <w:tab/>
        <w:tab/>
        <w:tab/>
        <w:tab/>
        <w:tab/>
        <w:tab/>
        <w:tab/>
        <w:t>do proj. w spec. arch. b/o</w:t>
      </w:r>
    </w:p>
    <w:sectPr>
      <w:type w:val="nextPage"/>
      <w:pgSz w:w="11906" w:h="16838"/>
      <w:pgMar w:left="1701" w:right="907" w:header="0" w:top="907" w:footer="0" w:bottom="90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01"/>
    <w:family w:val="auto"/>
    <w:pitch w:val="variable"/>
  </w:font>
  <w:font w:name="Wingdings 2">
    <w:charset w:val="02"/>
    <w:family w:val="auto"/>
    <w:pitch w:val="default"/>
  </w:font>
  <w:font w:name="StarSymbol">
    <w:altName w:val="Arial Unicode MS"/>
    <w:charset w:val="01"/>
    <w:family w:val="auto"/>
    <w:pitch w:val="default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42fc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42fc8"/>
    <w:pPr>
      <w:ind w:left="708" w:hanging="0"/>
    </w:pPr>
    <w:rPr/>
  </w:style>
  <w:style w:type="paragraph" w:styleId="Standard" w:customStyle="1">
    <w:name w:val="Standard"/>
    <w:qFormat/>
    <w:rsid w:val="005643c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pl-PL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pl-PL" w:eastAsia="zh-CN" w:bidi="ar-SA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Application>LibreOffice/7.0.4.2$Windows_X86_64 LibreOffice_project/dcf040e67528d9187c66b2379df5ea4407429775</Application>
  <AppVersion>15.0000</AppVersion>
  <Pages>6</Pages>
  <Words>1426</Words>
  <Characters>9190</Characters>
  <CharactersWithSpaces>10538</CharactersWithSpaces>
  <Paragraphs>188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2021-09-22T07:58:00Z</dcterms:created>
  <dc:creator>Józef Modrzyk</dc:creator>
  <dc:description/>
  <dc:language>pl-PL</dc:language>
  <cp:lastModifiedBy/>
  <cp:lastPrinted>2023-07-06T12:08:03Z</cp:lastPrinted>
  <dcterms:modified xsi:type="dcterms:W3CDTF">2023-07-06T12:08:15Z</dcterms:modified>
  <cp:revision>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